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3F0E36" w14:textId="30FBA2ED" w:rsidR="00C8104D" w:rsidRDefault="00C8104D">
      <w:pPr>
        <w:rPr>
          <w:rFonts w:ascii="Helvetica" w:hAnsi="Helvetica"/>
        </w:rPr>
      </w:pPr>
      <w:r>
        <w:rPr>
          <w:noProof/>
        </w:rPr>
        <w:drawing>
          <wp:anchor distT="0" distB="0" distL="114300" distR="114300" simplePos="0" relativeHeight="251658240" behindDoc="0" locked="0" layoutInCell="1" allowOverlap="1" wp14:anchorId="3D3D1599" wp14:editId="1BD96B22">
            <wp:simplePos x="0" y="0"/>
            <wp:positionH relativeFrom="column">
              <wp:posOffset>5052060</wp:posOffset>
            </wp:positionH>
            <wp:positionV relativeFrom="paragraph">
              <wp:posOffset>-269679</wp:posOffset>
            </wp:positionV>
            <wp:extent cx="896816" cy="861646"/>
            <wp:effectExtent l="0" t="0" r="0" b="0"/>
            <wp:wrapNone/>
            <wp:docPr id="3" name="Afbeelding 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896816" cy="861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F30C2" w14:textId="77777777" w:rsidR="00C8104D" w:rsidRDefault="00C8104D">
      <w:pPr>
        <w:rPr>
          <w:rFonts w:ascii="Helvetica" w:hAnsi="Helvetica"/>
        </w:rPr>
      </w:pPr>
    </w:p>
    <w:p w14:paraId="1AA4D50D" w14:textId="528770B5" w:rsidR="00180B83" w:rsidRPr="00180B83" w:rsidRDefault="00180B83">
      <w:pPr>
        <w:rPr>
          <w:rFonts w:ascii="Helvetica" w:hAnsi="Helvetica"/>
        </w:rPr>
      </w:pPr>
    </w:p>
    <w:p w14:paraId="22EAF5E3" w14:textId="40A62967" w:rsidR="00180B83" w:rsidRDefault="00180B83"/>
    <w:p w14:paraId="418F1CF3" w14:textId="5FF34A57" w:rsidR="00C8104D" w:rsidRDefault="00C8104D"/>
    <w:p w14:paraId="1377E0B9" w14:textId="78F4C902" w:rsidR="00C8104D" w:rsidRDefault="00C8104D"/>
    <w:p w14:paraId="21059A38" w14:textId="77777777" w:rsidR="00AE2AF8" w:rsidRDefault="00C8104D" w:rsidP="00C8104D">
      <w:pPr>
        <w:jc w:val="center"/>
        <w:rPr>
          <w:rFonts w:ascii="Helvetica" w:hAnsi="Helvetica" w:cstheme="minorHAnsi"/>
          <w:b/>
          <w:bCs/>
          <w:sz w:val="96"/>
          <w:szCs w:val="96"/>
        </w:rPr>
      </w:pPr>
      <w:r>
        <w:rPr>
          <w:noProof/>
        </w:rPr>
        <w:drawing>
          <wp:anchor distT="0" distB="0" distL="114300" distR="114300" simplePos="0" relativeHeight="251666432" behindDoc="1" locked="0" layoutInCell="1" allowOverlap="1" wp14:anchorId="08D8AEDD" wp14:editId="7A5CC24E">
            <wp:simplePos x="0" y="0"/>
            <wp:positionH relativeFrom="column">
              <wp:posOffset>744367</wp:posOffset>
            </wp:positionH>
            <wp:positionV relativeFrom="paragraph">
              <wp:posOffset>-1696525</wp:posOffset>
            </wp:positionV>
            <wp:extent cx="4273061" cy="8297341"/>
            <wp:effectExtent l="0" t="0" r="0" b="889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artisticCrisscrossEtching trans="36000" pressure="0"/>
                              </a14:imgEffect>
                            </a14:imgLayer>
                          </a14:imgProps>
                        </a:ext>
                        <a:ext uri="{28A0092B-C50C-407E-A947-70E740481C1C}">
                          <a14:useLocalDpi xmlns:a14="http://schemas.microsoft.com/office/drawing/2010/main" val="0"/>
                        </a:ext>
                      </a:extLst>
                    </a:blip>
                    <a:srcRect/>
                    <a:stretch>
                      <a:fillRect/>
                    </a:stretch>
                  </pic:blipFill>
                  <pic:spPr bwMode="auto">
                    <a:xfrm>
                      <a:off x="0" y="0"/>
                      <a:ext cx="4273061" cy="82973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04D">
        <w:rPr>
          <w:rFonts w:ascii="Helvetica" w:hAnsi="Helvetica" w:cstheme="minorHAnsi"/>
          <w:b/>
          <w:bCs/>
          <w:sz w:val="96"/>
          <w:szCs w:val="96"/>
        </w:rPr>
        <w:t xml:space="preserve"> </w:t>
      </w:r>
    </w:p>
    <w:p w14:paraId="09F2C7FB" w14:textId="77777777" w:rsidR="00AE2AF8" w:rsidRDefault="00AE2AF8" w:rsidP="00C8104D">
      <w:pPr>
        <w:jc w:val="center"/>
        <w:rPr>
          <w:rFonts w:ascii="Helvetica" w:hAnsi="Helvetica" w:cstheme="minorHAnsi"/>
          <w:b/>
          <w:bCs/>
          <w:sz w:val="96"/>
          <w:szCs w:val="96"/>
        </w:rPr>
      </w:pPr>
    </w:p>
    <w:p w14:paraId="7AEA67A6" w14:textId="77777777" w:rsidR="00AE2AF8" w:rsidRDefault="00AE2AF8" w:rsidP="00C8104D">
      <w:pPr>
        <w:jc w:val="center"/>
        <w:rPr>
          <w:rFonts w:ascii="Helvetica" w:hAnsi="Helvetica" w:cstheme="minorHAnsi"/>
          <w:b/>
          <w:bCs/>
          <w:sz w:val="96"/>
          <w:szCs w:val="96"/>
        </w:rPr>
      </w:pPr>
    </w:p>
    <w:p w14:paraId="7E5B6170" w14:textId="77777777" w:rsidR="00AE2AF8" w:rsidRDefault="00AE2AF8" w:rsidP="00C8104D">
      <w:pPr>
        <w:jc w:val="center"/>
        <w:rPr>
          <w:rFonts w:ascii="Helvetica" w:hAnsi="Helvetica" w:cstheme="minorHAnsi"/>
          <w:b/>
          <w:bCs/>
          <w:sz w:val="96"/>
          <w:szCs w:val="96"/>
        </w:rPr>
      </w:pPr>
    </w:p>
    <w:p w14:paraId="7E518E5A" w14:textId="77777777" w:rsidR="00432E65" w:rsidRDefault="00C8104D" w:rsidP="00AE2AF8">
      <w:pPr>
        <w:jc w:val="center"/>
        <w:rPr>
          <w:rFonts w:ascii="Helvetica" w:hAnsi="Helvetica" w:cstheme="minorHAnsi"/>
          <w:b/>
          <w:bCs/>
          <w:sz w:val="96"/>
          <w:szCs w:val="96"/>
        </w:rPr>
      </w:pPr>
      <w:r w:rsidRPr="00C8104D">
        <w:rPr>
          <w:rFonts w:ascii="Helvetica" w:hAnsi="Helvetica" w:cstheme="minorHAnsi"/>
          <w:b/>
          <w:bCs/>
          <w:sz w:val="96"/>
          <w:szCs w:val="96"/>
        </w:rPr>
        <w:t>C</w:t>
      </w:r>
      <w:r w:rsidR="00AE2AF8">
        <w:rPr>
          <w:rFonts w:ascii="Helvetica" w:hAnsi="Helvetica" w:cstheme="minorHAnsi"/>
          <w:b/>
          <w:bCs/>
          <w:sz w:val="96"/>
          <w:szCs w:val="96"/>
        </w:rPr>
        <w:t xml:space="preserve">URSUS </w:t>
      </w:r>
    </w:p>
    <w:p w14:paraId="26EA13F2" w14:textId="69E3D577" w:rsidR="00C8104D" w:rsidRPr="00AE2AF8" w:rsidRDefault="00432E65" w:rsidP="00AE2AF8">
      <w:pPr>
        <w:jc w:val="center"/>
        <w:rPr>
          <w:rFonts w:ascii="Helvetica" w:hAnsi="Helvetica" w:cstheme="minorHAnsi"/>
          <w:b/>
          <w:bCs/>
          <w:sz w:val="96"/>
          <w:szCs w:val="96"/>
        </w:rPr>
      </w:pPr>
      <w:r>
        <w:rPr>
          <w:rFonts w:ascii="Helvetica" w:hAnsi="Helvetica" w:cstheme="minorHAnsi"/>
          <w:b/>
          <w:bCs/>
          <w:sz w:val="96"/>
          <w:szCs w:val="96"/>
        </w:rPr>
        <w:t>Acuut Knieletsel Deel</w:t>
      </w:r>
      <w:r w:rsidR="00C8104D" w:rsidRPr="00C8104D">
        <w:rPr>
          <w:rFonts w:ascii="Helvetica" w:hAnsi="Helvetica" w:cstheme="minorHAnsi"/>
          <w:b/>
          <w:bCs/>
          <w:sz w:val="96"/>
          <w:szCs w:val="96"/>
        </w:rPr>
        <w:t xml:space="preserve"> </w:t>
      </w:r>
      <w:r w:rsidR="00934DD2">
        <w:rPr>
          <w:rFonts w:ascii="Helvetica" w:hAnsi="Helvetica" w:cstheme="minorHAnsi"/>
          <w:b/>
          <w:bCs/>
          <w:sz w:val="96"/>
          <w:szCs w:val="96"/>
        </w:rPr>
        <w:t>2</w:t>
      </w:r>
    </w:p>
    <w:p w14:paraId="33F4EFD5" w14:textId="162B3608" w:rsidR="00C8104D" w:rsidRPr="00432E65" w:rsidRDefault="00C8104D" w:rsidP="00432E65">
      <w:pPr>
        <w:jc w:val="center"/>
        <w:rPr>
          <w:rFonts w:ascii="Helvetica" w:hAnsi="Helvetica" w:cstheme="minorHAnsi"/>
          <w:b/>
          <w:bCs/>
          <w:color w:val="FF0000"/>
          <w:sz w:val="96"/>
          <w:szCs w:val="96"/>
        </w:rPr>
      </w:pPr>
      <w:r w:rsidRPr="00AE2AF8">
        <w:rPr>
          <w:rFonts w:ascii="Helvetica" w:hAnsi="Helvetica"/>
        </w:rPr>
        <w:t xml:space="preserve">Cursus knie </w:t>
      </w:r>
      <w:r w:rsidR="00934DD2">
        <w:rPr>
          <w:rFonts w:ascii="Helvetica" w:hAnsi="Helvetica"/>
        </w:rPr>
        <w:t>14</w:t>
      </w:r>
      <w:r w:rsidRPr="00AE2AF8">
        <w:rPr>
          <w:rFonts w:ascii="Helvetica" w:hAnsi="Helvetica"/>
        </w:rPr>
        <w:t xml:space="preserve"> </w:t>
      </w:r>
      <w:r w:rsidR="00934DD2">
        <w:rPr>
          <w:rFonts w:ascii="Helvetica" w:hAnsi="Helvetica"/>
        </w:rPr>
        <w:t>en 23 oktober</w:t>
      </w:r>
      <w:r w:rsidRPr="00AE2AF8">
        <w:rPr>
          <w:rFonts w:ascii="Helvetica" w:hAnsi="Helvetica"/>
        </w:rPr>
        <w:t xml:space="preserve"> 2021</w:t>
      </w:r>
    </w:p>
    <w:p w14:paraId="387470F3" w14:textId="38B39A5F" w:rsidR="00AE2AF8" w:rsidRDefault="00AE2AF8">
      <w:pPr>
        <w:rPr>
          <w:rFonts w:ascii="Century Gothic" w:eastAsia="Times New Roman" w:hAnsi="Century Gothic" w:cs="Times New Roman"/>
          <w:sz w:val="24"/>
          <w:szCs w:val="24"/>
          <w:lang w:eastAsia="nl-NL"/>
        </w:rPr>
      </w:pPr>
    </w:p>
    <w:p w14:paraId="602EBB39" w14:textId="6CD881BD" w:rsidR="00AE2AF8" w:rsidRDefault="00AE2AF8" w:rsidP="00E93CC8">
      <w:pPr>
        <w:spacing w:after="0" w:line="240" w:lineRule="auto"/>
        <w:rPr>
          <w:rFonts w:eastAsia="Times New Roman" w:cstheme="minorHAnsi"/>
          <w:lang w:eastAsia="nl-NL"/>
        </w:rPr>
      </w:pPr>
      <w:r w:rsidRPr="00AE2AF8">
        <w:rPr>
          <w:rFonts w:cstheme="minorHAnsi"/>
          <w:noProof/>
        </w:rPr>
        <w:drawing>
          <wp:anchor distT="0" distB="0" distL="114300" distR="114300" simplePos="0" relativeHeight="251659264" behindDoc="0" locked="0" layoutInCell="1" allowOverlap="1" wp14:anchorId="13F9C21B" wp14:editId="1F6368AF">
            <wp:simplePos x="0" y="0"/>
            <wp:positionH relativeFrom="column">
              <wp:posOffset>5183505</wp:posOffset>
            </wp:positionH>
            <wp:positionV relativeFrom="paragraph">
              <wp:posOffset>-489439</wp:posOffset>
            </wp:positionV>
            <wp:extent cx="860400" cy="859532"/>
            <wp:effectExtent l="0" t="0" r="0" b="0"/>
            <wp:wrapNone/>
            <wp:docPr id="4" name="Afbeelding 4"/>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r:link="rId9" cstate="print">
                      <a:extLst>
                        <a:ext uri="{28A0092B-C50C-407E-A947-70E740481C1C}">
                          <a14:useLocalDpi xmlns:a14="http://schemas.microsoft.com/office/drawing/2010/main" val="0"/>
                        </a:ext>
                      </a:extLst>
                    </a:blip>
                    <a:srcRect/>
                    <a:stretch>
                      <a:fillRect/>
                    </a:stretch>
                  </pic:blipFill>
                  <pic:spPr bwMode="auto">
                    <a:xfrm>
                      <a:off x="0" y="0"/>
                      <a:ext cx="860400" cy="859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8C1D1" w14:textId="77777777" w:rsidR="00AE2AF8" w:rsidRDefault="00AE2AF8" w:rsidP="00E93CC8">
      <w:pPr>
        <w:spacing w:after="0" w:line="240" w:lineRule="auto"/>
        <w:rPr>
          <w:rFonts w:eastAsia="Times New Roman" w:cstheme="minorHAnsi"/>
          <w:lang w:eastAsia="nl-NL"/>
        </w:rPr>
      </w:pPr>
    </w:p>
    <w:p w14:paraId="7AC708FB" w14:textId="77777777" w:rsidR="00AE2AF8" w:rsidRDefault="00AE2AF8" w:rsidP="00E93CC8">
      <w:pPr>
        <w:spacing w:after="0" w:line="240" w:lineRule="auto"/>
        <w:rPr>
          <w:rFonts w:eastAsia="Times New Roman" w:cstheme="minorHAnsi"/>
          <w:lang w:eastAsia="nl-NL"/>
        </w:rPr>
      </w:pPr>
    </w:p>
    <w:p w14:paraId="2E76489D" w14:textId="2D002CE5" w:rsidR="00E93CC8" w:rsidRPr="00AE2AF8" w:rsidRDefault="00E93CC8" w:rsidP="00E93CC8">
      <w:pPr>
        <w:spacing w:after="0" w:line="240" w:lineRule="auto"/>
        <w:rPr>
          <w:rFonts w:eastAsia="Times New Roman" w:cstheme="minorHAnsi"/>
          <w:lang w:eastAsia="nl-NL"/>
        </w:rPr>
      </w:pPr>
      <w:r w:rsidRPr="00AE2AF8">
        <w:rPr>
          <w:rFonts w:eastAsia="Times New Roman" w:cstheme="minorHAnsi"/>
          <w:lang w:eastAsia="nl-NL"/>
        </w:rPr>
        <w:t>Beste cursist,</w:t>
      </w:r>
    </w:p>
    <w:p w14:paraId="0ACC7A31" w14:textId="72F2EF70" w:rsidR="00E93CC8" w:rsidRPr="00AE2AF8" w:rsidRDefault="00E93CC8" w:rsidP="00E93CC8">
      <w:pPr>
        <w:spacing w:after="0" w:line="240" w:lineRule="auto"/>
        <w:rPr>
          <w:rFonts w:eastAsia="Times New Roman" w:cstheme="minorHAnsi"/>
          <w:lang w:eastAsia="nl-NL"/>
        </w:rPr>
      </w:pPr>
    </w:p>
    <w:p w14:paraId="353D4940" w14:textId="48C7489D" w:rsidR="00E93CC8" w:rsidRPr="00AE2AF8" w:rsidRDefault="00E93CC8" w:rsidP="00E93CC8">
      <w:pPr>
        <w:spacing w:after="0" w:line="240" w:lineRule="auto"/>
        <w:rPr>
          <w:rFonts w:eastAsia="Times New Roman" w:cstheme="minorHAnsi"/>
          <w:lang w:eastAsia="nl-NL"/>
        </w:rPr>
      </w:pPr>
    </w:p>
    <w:p w14:paraId="0B2FF2B9" w14:textId="63E439A8" w:rsidR="00E93CC8" w:rsidRPr="00AE2AF8" w:rsidRDefault="00E93CC8" w:rsidP="00E93CC8">
      <w:pPr>
        <w:spacing w:after="0" w:line="240" w:lineRule="auto"/>
        <w:rPr>
          <w:rFonts w:eastAsia="Times New Roman" w:cstheme="minorHAnsi"/>
          <w:lang w:eastAsia="nl-NL"/>
        </w:rPr>
      </w:pPr>
      <w:r w:rsidRPr="00AE2AF8">
        <w:rPr>
          <w:rFonts w:eastAsia="Times New Roman" w:cstheme="minorHAnsi"/>
          <w:lang w:eastAsia="nl-NL"/>
        </w:rPr>
        <w:t xml:space="preserve">Hierbij ontvangt u onze cursusinformatie. </w:t>
      </w:r>
    </w:p>
    <w:p w14:paraId="497F47D9" w14:textId="24AF0247" w:rsidR="00E93CC8" w:rsidRPr="00AE2AF8" w:rsidRDefault="00E93CC8" w:rsidP="00E93CC8">
      <w:pPr>
        <w:spacing w:after="0" w:line="240" w:lineRule="auto"/>
        <w:rPr>
          <w:rFonts w:eastAsia="Times New Roman" w:cstheme="minorHAnsi"/>
          <w:lang w:eastAsia="nl-NL"/>
        </w:rPr>
      </w:pPr>
    </w:p>
    <w:p w14:paraId="32F422DB" w14:textId="17E3B79B" w:rsidR="00E93CC8" w:rsidRPr="00AE2AF8" w:rsidRDefault="00E93CC8" w:rsidP="00E93CC8">
      <w:pPr>
        <w:spacing w:after="0" w:line="240" w:lineRule="auto"/>
        <w:rPr>
          <w:rFonts w:eastAsia="Times New Roman" w:cstheme="minorHAnsi"/>
          <w:lang w:eastAsia="nl-NL"/>
        </w:rPr>
      </w:pPr>
      <w:r w:rsidRPr="00AE2AF8">
        <w:rPr>
          <w:rFonts w:eastAsia="Times New Roman" w:cstheme="minorHAnsi"/>
          <w:lang w:eastAsia="nl-NL"/>
        </w:rPr>
        <w:t xml:space="preserve">Bedankt voor uw inschrijving van onze Cursus </w:t>
      </w:r>
      <w:r w:rsidR="00432E65">
        <w:rPr>
          <w:rFonts w:eastAsia="Times New Roman" w:cstheme="minorHAnsi"/>
          <w:lang w:eastAsia="nl-NL"/>
        </w:rPr>
        <w:t xml:space="preserve">acuut knieletsel deel </w:t>
      </w:r>
      <w:r w:rsidR="00934DD2">
        <w:rPr>
          <w:rFonts w:eastAsia="Times New Roman" w:cstheme="minorHAnsi"/>
          <w:lang w:eastAsia="nl-NL"/>
        </w:rPr>
        <w:t>2</w:t>
      </w:r>
      <w:r w:rsidRPr="00AE2AF8">
        <w:rPr>
          <w:rFonts w:eastAsia="Times New Roman" w:cstheme="minorHAnsi"/>
          <w:lang w:eastAsia="nl-NL"/>
        </w:rPr>
        <w:t>.</w:t>
      </w:r>
    </w:p>
    <w:p w14:paraId="5AE9E8EC" w14:textId="29DEDE81" w:rsidR="00E93CC8" w:rsidRPr="00AE2AF8" w:rsidRDefault="00E93CC8" w:rsidP="00E93CC8">
      <w:pPr>
        <w:spacing w:after="0" w:line="240" w:lineRule="auto"/>
        <w:rPr>
          <w:rFonts w:eastAsia="Times New Roman" w:cstheme="minorHAnsi"/>
          <w:lang w:eastAsia="nl-NL"/>
        </w:rPr>
      </w:pPr>
    </w:p>
    <w:p w14:paraId="5A999CDE" w14:textId="53EDC76A" w:rsidR="00E93CC8" w:rsidRDefault="00E93CC8" w:rsidP="00E93CC8">
      <w:pPr>
        <w:spacing w:after="0" w:line="240" w:lineRule="auto"/>
        <w:rPr>
          <w:rFonts w:eastAsia="Times New Roman" w:cstheme="minorHAnsi"/>
          <w:lang w:eastAsia="nl-NL"/>
        </w:rPr>
      </w:pPr>
      <w:r w:rsidRPr="00AE2AF8">
        <w:rPr>
          <w:rFonts w:eastAsia="Times New Roman" w:cstheme="minorHAnsi"/>
          <w:lang w:eastAsia="nl-NL"/>
        </w:rPr>
        <w:t>De eerste dag zal de theoretische onderbouwing, het speciëel onderzoek en de lezing van de orthopeed aan bod komen. Om u hier voldoende op voor te bereiden is het raadzaam de u toegezonden artikelen aandachtig te bestuderen.</w:t>
      </w:r>
    </w:p>
    <w:p w14:paraId="64081309" w14:textId="24CF1ED5" w:rsidR="00934DD2" w:rsidRDefault="00934DD2" w:rsidP="00E93CC8">
      <w:pPr>
        <w:spacing w:after="0" w:line="240" w:lineRule="auto"/>
        <w:rPr>
          <w:rFonts w:eastAsia="Times New Roman" w:cstheme="minorHAnsi"/>
          <w:lang w:eastAsia="nl-NL"/>
        </w:rPr>
      </w:pPr>
    </w:p>
    <w:p w14:paraId="14413484" w14:textId="48F2B0C5" w:rsidR="00E93CC8" w:rsidRPr="00934DD2" w:rsidRDefault="00934DD2" w:rsidP="00934DD2">
      <w:pPr>
        <w:rPr>
          <w:rFonts w:eastAsia="Times New Roman" w:cstheme="minorHAnsi"/>
          <w:lang w:eastAsia="nl-NL"/>
        </w:rPr>
      </w:pPr>
      <w:r w:rsidRPr="00934DD2">
        <w:rPr>
          <w:rFonts w:eastAsia="Times New Roman" w:cstheme="minorHAnsi"/>
          <w:lang w:eastAsia="nl-NL"/>
        </w:rPr>
        <w:t xml:space="preserve">Voor de praktijkdag (de tweede dag) is het raadzaam sportkleding mee te brengen, ook hiervoor geldt dat de bestudering van </w:t>
      </w:r>
      <w:r w:rsidRPr="00096C11">
        <w:rPr>
          <w:rFonts w:eastAsia="Times New Roman" w:cstheme="minorHAnsi"/>
          <w:color w:val="FF0000"/>
          <w:lang w:eastAsia="nl-NL"/>
        </w:rPr>
        <w:t xml:space="preserve">de “oefentherapie” artikelen </w:t>
      </w:r>
      <w:r w:rsidRPr="00934DD2">
        <w:rPr>
          <w:rFonts w:eastAsia="Times New Roman" w:cstheme="minorHAnsi"/>
          <w:lang w:eastAsia="nl-NL"/>
        </w:rPr>
        <w:t>een must is, voor het goed kunnen volgen van de cursusdag.</w:t>
      </w:r>
    </w:p>
    <w:p w14:paraId="24886A12" w14:textId="6DBFC233" w:rsidR="00E93CC8" w:rsidRPr="00AE2AF8" w:rsidRDefault="00E93CC8" w:rsidP="00E93CC8">
      <w:pPr>
        <w:spacing w:after="0" w:line="240" w:lineRule="auto"/>
        <w:outlineLvl w:val="0"/>
        <w:rPr>
          <w:rFonts w:eastAsia="Times New Roman" w:cstheme="minorHAnsi"/>
          <w:lang w:eastAsia="nl-NL"/>
        </w:rPr>
      </w:pPr>
      <w:r w:rsidRPr="00AE2AF8">
        <w:rPr>
          <w:rFonts w:eastAsia="Times New Roman" w:cstheme="minorHAnsi"/>
          <w:lang w:eastAsia="nl-NL"/>
        </w:rPr>
        <w:t>Bij vragen kunt u contact opnemen met telefoonnummer:</w:t>
      </w:r>
      <w:r w:rsidRPr="00AE2AF8">
        <w:rPr>
          <w:rFonts w:eastAsia="Times New Roman" w:cstheme="minorHAnsi"/>
          <w:lang w:val="de-DE" w:eastAsia="nl-NL"/>
        </w:rPr>
        <w:t xml:space="preserve"> 06-52007259</w:t>
      </w:r>
      <w:r w:rsidR="009B0609">
        <w:rPr>
          <w:rFonts w:eastAsia="Times New Roman" w:cstheme="minorHAnsi"/>
          <w:lang w:val="de-DE" w:eastAsia="nl-NL"/>
        </w:rPr>
        <w:t xml:space="preserve"> of 040-2025087</w:t>
      </w:r>
    </w:p>
    <w:p w14:paraId="7406EFE6" w14:textId="384D2F10" w:rsidR="00E93CC8" w:rsidRDefault="00E93CC8" w:rsidP="00E93CC8">
      <w:pPr>
        <w:spacing w:after="0" w:line="240" w:lineRule="auto"/>
        <w:rPr>
          <w:rFonts w:eastAsia="Times New Roman" w:cstheme="minorHAnsi"/>
          <w:color w:val="000000"/>
          <w:lang w:eastAsia="nl-NL"/>
        </w:rPr>
      </w:pPr>
    </w:p>
    <w:p w14:paraId="04135966" w14:textId="77777777" w:rsidR="00AE3FD6" w:rsidRPr="00AE2AF8" w:rsidRDefault="00AE3FD6" w:rsidP="00E93CC8">
      <w:pPr>
        <w:spacing w:after="0" w:line="240" w:lineRule="auto"/>
        <w:rPr>
          <w:rFonts w:eastAsia="Times New Roman" w:cstheme="minorHAnsi"/>
          <w:color w:val="000000"/>
          <w:lang w:eastAsia="nl-NL"/>
        </w:rPr>
      </w:pPr>
    </w:p>
    <w:p w14:paraId="73C17D9F" w14:textId="65CF8CA2" w:rsidR="00E93CC8" w:rsidRPr="00AE2AF8" w:rsidRDefault="00E93CC8" w:rsidP="00D80F3C">
      <w:pPr>
        <w:jc w:val="left"/>
        <w:rPr>
          <w:rFonts w:eastAsia="Times New Roman" w:cstheme="minorHAnsi"/>
          <w:lang w:eastAsia="nl-NL"/>
        </w:rPr>
      </w:pPr>
      <w:r w:rsidRPr="00AE2AF8">
        <w:rPr>
          <w:rFonts w:eastAsia="Times New Roman" w:cstheme="minorHAnsi"/>
          <w:lang w:eastAsia="nl-NL"/>
        </w:rPr>
        <w:t>Met vriendelijke groet,</w:t>
      </w:r>
      <w:r w:rsidRPr="00AE2AF8">
        <w:rPr>
          <w:rFonts w:eastAsia="Times New Roman" w:cstheme="minorHAnsi"/>
          <w:lang w:eastAsia="nl-NL"/>
        </w:rPr>
        <w:br/>
        <w:t> </w:t>
      </w:r>
      <w:r w:rsidRPr="00AE2AF8">
        <w:rPr>
          <w:rFonts w:eastAsia="Times New Roman" w:cstheme="minorHAnsi"/>
          <w:lang w:eastAsia="nl-NL"/>
        </w:rPr>
        <w:br/>
        <w:t>Frans Brooijmans</w:t>
      </w:r>
    </w:p>
    <w:p w14:paraId="6653180A" w14:textId="1CCE14C5" w:rsidR="00C8104D" w:rsidRDefault="00C8104D" w:rsidP="00E93CC8">
      <w:pPr>
        <w:rPr>
          <w:rFonts w:ascii="Century Gothic" w:eastAsia="Times New Roman" w:hAnsi="Century Gothic" w:cs="Times New Roman"/>
          <w:sz w:val="24"/>
          <w:szCs w:val="24"/>
          <w:lang w:eastAsia="nl-NL"/>
        </w:rPr>
      </w:pPr>
    </w:p>
    <w:p w14:paraId="28FF9AF1" w14:textId="2712632B" w:rsidR="00C8104D" w:rsidRDefault="00C8104D" w:rsidP="00E93CC8">
      <w:pPr>
        <w:rPr>
          <w:rFonts w:ascii="Century Gothic" w:eastAsia="Times New Roman" w:hAnsi="Century Gothic" w:cs="Times New Roman"/>
          <w:sz w:val="24"/>
          <w:szCs w:val="24"/>
          <w:lang w:eastAsia="nl-NL"/>
        </w:rPr>
      </w:pPr>
    </w:p>
    <w:p w14:paraId="2167F4BB" w14:textId="1D66AE13" w:rsidR="00A12B9C" w:rsidRDefault="00A12B9C" w:rsidP="00E93CC8">
      <w:pPr>
        <w:rPr>
          <w:rFonts w:ascii="Century Gothic" w:eastAsia="Times New Roman" w:hAnsi="Century Gothic" w:cs="Times New Roman"/>
          <w:sz w:val="24"/>
          <w:szCs w:val="24"/>
          <w:lang w:eastAsia="nl-NL"/>
        </w:rPr>
      </w:pPr>
    </w:p>
    <w:p w14:paraId="0DA12E78" w14:textId="369B7419" w:rsidR="00A12B9C" w:rsidRDefault="00A12B9C" w:rsidP="00E93CC8">
      <w:pPr>
        <w:rPr>
          <w:rFonts w:ascii="Century Gothic" w:eastAsia="Times New Roman" w:hAnsi="Century Gothic" w:cs="Times New Roman"/>
          <w:sz w:val="24"/>
          <w:szCs w:val="24"/>
          <w:lang w:eastAsia="nl-NL"/>
        </w:rPr>
      </w:pPr>
    </w:p>
    <w:p w14:paraId="1237BEE3" w14:textId="7FA2B518" w:rsidR="00180B83" w:rsidRDefault="00180B83" w:rsidP="00E93CC8">
      <w:pPr>
        <w:rPr>
          <w:rFonts w:ascii="Century Gothic" w:eastAsia="Times New Roman" w:hAnsi="Century Gothic" w:cs="Times New Roman"/>
          <w:sz w:val="24"/>
          <w:szCs w:val="24"/>
          <w:lang w:eastAsia="nl-NL"/>
        </w:rPr>
      </w:pPr>
    </w:p>
    <w:p w14:paraId="4A30CCFF" w14:textId="77777777" w:rsidR="00180B83" w:rsidRDefault="00180B83" w:rsidP="00180B83"/>
    <w:p w14:paraId="00A184B9" w14:textId="77777777" w:rsidR="00180B83" w:rsidRDefault="00180B83" w:rsidP="00180B83">
      <w:pPr>
        <w:rPr>
          <w:b/>
          <w:bCs/>
        </w:rPr>
      </w:pPr>
    </w:p>
    <w:p w14:paraId="30685629" w14:textId="77777777" w:rsidR="00180B83" w:rsidRDefault="00180B83" w:rsidP="00180B83">
      <w:pPr>
        <w:rPr>
          <w:b/>
          <w:bCs/>
        </w:rPr>
      </w:pPr>
    </w:p>
    <w:p w14:paraId="7501D76A" w14:textId="77777777" w:rsidR="00180B83" w:rsidRDefault="00180B83" w:rsidP="00180B83">
      <w:pPr>
        <w:rPr>
          <w:b/>
          <w:bCs/>
        </w:rPr>
      </w:pPr>
    </w:p>
    <w:p w14:paraId="624AB642" w14:textId="77777777" w:rsidR="00180B83" w:rsidRDefault="00180B83" w:rsidP="00180B83">
      <w:pPr>
        <w:rPr>
          <w:b/>
          <w:bCs/>
        </w:rPr>
      </w:pPr>
    </w:p>
    <w:p w14:paraId="73977AAB" w14:textId="77777777" w:rsidR="00180B83" w:rsidRDefault="00180B83" w:rsidP="00180B83">
      <w:pPr>
        <w:rPr>
          <w:b/>
          <w:bCs/>
        </w:rPr>
      </w:pPr>
    </w:p>
    <w:p w14:paraId="518BC458" w14:textId="2B0B0D34" w:rsidR="00180B83" w:rsidRDefault="00180B83" w:rsidP="00180B83">
      <w:pPr>
        <w:rPr>
          <w:b/>
          <w:bCs/>
        </w:rPr>
      </w:pPr>
    </w:p>
    <w:p w14:paraId="437C1EF7" w14:textId="77777777" w:rsidR="00180B83" w:rsidRDefault="00180B83" w:rsidP="00180B83">
      <w:pPr>
        <w:rPr>
          <w:b/>
          <w:bCs/>
        </w:rPr>
      </w:pPr>
    </w:p>
    <w:p w14:paraId="650639EE" w14:textId="77777777" w:rsidR="00180B83" w:rsidRDefault="00180B83" w:rsidP="00180B83">
      <w:pPr>
        <w:rPr>
          <w:b/>
          <w:bCs/>
        </w:rPr>
      </w:pPr>
    </w:p>
    <w:p w14:paraId="255B5631" w14:textId="77777777" w:rsidR="00180B83" w:rsidRDefault="00180B83" w:rsidP="00180B83">
      <w:pPr>
        <w:rPr>
          <w:b/>
          <w:bCs/>
        </w:rPr>
      </w:pPr>
    </w:p>
    <w:p w14:paraId="200A677C" w14:textId="0FC77A4A" w:rsidR="00180B83" w:rsidRPr="00AE2AF8" w:rsidRDefault="00180B83" w:rsidP="00E93CC8">
      <w:pPr>
        <w:rPr>
          <w:b/>
          <w:bCs/>
        </w:rPr>
      </w:pPr>
    </w:p>
    <w:p w14:paraId="23551EDB" w14:textId="241610DD" w:rsidR="008338F3" w:rsidRDefault="00C8104D" w:rsidP="008338F3">
      <w:pPr>
        <w:spacing w:after="0" w:line="240" w:lineRule="auto"/>
        <w:rPr>
          <w:rFonts w:ascii="Helvetica" w:eastAsia="Times New Roman" w:hAnsi="Helvetica"/>
          <w:b/>
          <w:bCs/>
          <w:sz w:val="36"/>
          <w:szCs w:val="36"/>
          <w:lang w:eastAsia="nl-NL"/>
        </w:rPr>
      </w:pPr>
      <w:r w:rsidRPr="008338F3">
        <w:rPr>
          <w:rFonts w:ascii="Helvetica" w:eastAsia="Times New Roman" w:hAnsi="Helvetica" w:cstheme="minorHAnsi"/>
          <w:b/>
          <w:bCs/>
          <w:noProof/>
          <w:sz w:val="36"/>
          <w:szCs w:val="36"/>
          <w:lang w:eastAsia="nl-NL"/>
        </w:rPr>
        <w:drawing>
          <wp:anchor distT="0" distB="0" distL="114300" distR="114300" simplePos="0" relativeHeight="251663360" behindDoc="0" locked="0" layoutInCell="1" allowOverlap="1" wp14:anchorId="3B99A340" wp14:editId="08866EB6">
            <wp:simplePos x="0" y="0"/>
            <wp:positionH relativeFrom="column">
              <wp:posOffset>5231130</wp:posOffset>
            </wp:positionH>
            <wp:positionV relativeFrom="paragraph">
              <wp:posOffset>-474883</wp:posOffset>
            </wp:positionV>
            <wp:extent cx="896816" cy="861646"/>
            <wp:effectExtent l="0" t="0" r="0" b="0"/>
            <wp:wrapNone/>
            <wp:docPr id="6" name="Afbeelding 6"/>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896816" cy="861646"/>
                    </a:xfrm>
                    <a:prstGeom prst="rect">
                      <a:avLst/>
                    </a:prstGeom>
                    <a:noFill/>
                    <a:ln>
                      <a:noFill/>
                    </a:ln>
                  </pic:spPr>
                </pic:pic>
              </a:graphicData>
            </a:graphic>
            <wp14:sizeRelH relativeFrom="page">
              <wp14:pctWidth>0</wp14:pctWidth>
            </wp14:sizeRelH>
            <wp14:sizeRelV relativeFrom="page">
              <wp14:pctHeight>0</wp14:pctHeight>
            </wp14:sizeRelV>
          </wp:anchor>
        </w:drawing>
      </w:r>
      <w:r w:rsidR="00180B83" w:rsidRPr="008338F3">
        <w:rPr>
          <w:rFonts w:ascii="Helvetica" w:eastAsia="Times New Roman" w:hAnsi="Helvetica"/>
          <w:b/>
          <w:bCs/>
          <w:sz w:val="36"/>
          <w:szCs w:val="36"/>
          <w:lang w:eastAsia="nl-NL"/>
        </w:rPr>
        <w:t>Cursusprogramma</w:t>
      </w:r>
      <w:r w:rsidR="00180B83" w:rsidRPr="008338F3">
        <w:rPr>
          <w:rFonts w:ascii="Helvetica" w:eastAsia="Times New Roman" w:hAnsi="Helvetica"/>
          <w:b/>
          <w:bCs/>
          <w:sz w:val="36"/>
          <w:szCs w:val="36"/>
          <w:lang w:eastAsia="nl-NL"/>
        </w:rPr>
        <w:tab/>
      </w:r>
    </w:p>
    <w:p w14:paraId="7D91AE32" w14:textId="77777777" w:rsidR="0076215F" w:rsidRPr="0076215F" w:rsidRDefault="0076215F" w:rsidP="008338F3">
      <w:pPr>
        <w:spacing w:after="0" w:line="240" w:lineRule="auto"/>
        <w:rPr>
          <w:rFonts w:ascii="Helvetica" w:eastAsia="Times New Roman" w:hAnsi="Helvetica"/>
          <w:b/>
          <w:bCs/>
          <w:sz w:val="36"/>
          <w:szCs w:val="36"/>
          <w:lang w:eastAsia="nl-NL"/>
        </w:rPr>
      </w:pPr>
    </w:p>
    <w:tbl>
      <w:tblPr>
        <w:tblStyle w:val="Tabelraster"/>
        <w:tblW w:w="0" w:type="auto"/>
        <w:tblLook w:val="04A0" w:firstRow="1" w:lastRow="0" w:firstColumn="1" w:lastColumn="0" w:noHBand="0" w:noVBand="1"/>
      </w:tblPr>
      <w:tblGrid>
        <w:gridCol w:w="1413"/>
        <w:gridCol w:w="2203"/>
        <w:gridCol w:w="5446"/>
      </w:tblGrid>
      <w:tr w:rsidR="00432E65" w14:paraId="13E6ED35" w14:textId="2B475BB7" w:rsidTr="00DE1FD7">
        <w:tc>
          <w:tcPr>
            <w:tcW w:w="1413" w:type="dxa"/>
          </w:tcPr>
          <w:p w14:paraId="0514F7DC" w14:textId="77777777" w:rsidR="00432E65" w:rsidRDefault="00432E65" w:rsidP="00EF1432">
            <w:r>
              <w:t>Uren</w:t>
            </w:r>
          </w:p>
        </w:tc>
        <w:tc>
          <w:tcPr>
            <w:tcW w:w="2203" w:type="dxa"/>
          </w:tcPr>
          <w:p w14:paraId="10755E02" w14:textId="77777777" w:rsidR="00432E65" w:rsidRDefault="00432E65" w:rsidP="00EF1432">
            <w:r>
              <w:t>Programma onderdeel</w:t>
            </w:r>
          </w:p>
        </w:tc>
        <w:tc>
          <w:tcPr>
            <w:tcW w:w="5446" w:type="dxa"/>
          </w:tcPr>
          <w:p w14:paraId="6B9651B8" w14:textId="3C70524B" w:rsidR="00432E65" w:rsidRDefault="00432E65" w:rsidP="001E5A43">
            <w:r>
              <w:t>Deel en leerdoelen</w:t>
            </w:r>
          </w:p>
        </w:tc>
      </w:tr>
      <w:tr w:rsidR="00432E65" w14:paraId="75C1C424" w14:textId="00CA02AC" w:rsidTr="0037382E">
        <w:tc>
          <w:tcPr>
            <w:tcW w:w="9062" w:type="dxa"/>
            <w:gridSpan w:val="3"/>
          </w:tcPr>
          <w:p w14:paraId="60D539A7" w14:textId="5BB8B5B3" w:rsidR="00432E65" w:rsidRPr="00C93767" w:rsidRDefault="00432E65" w:rsidP="00EF1432">
            <w:r w:rsidRPr="00341D37">
              <w:rPr>
                <w:b/>
                <w:bCs/>
              </w:rPr>
              <w:t>Dag</w:t>
            </w:r>
            <w:r>
              <w:rPr>
                <w:b/>
                <w:bCs/>
              </w:rPr>
              <w:t>deel</w:t>
            </w:r>
            <w:r w:rsidRPr="00341D37">
              <w:rPr>
                <w:b/>
                <w:bCs/>
              </w:rPr>
              <w:t xml:space="preserve"> 1</w:t>
            </w:r>
            <w:r w:rsidR="00934DD2">
              <w:rPr>
                <w:b/>
                <w:bCs/>
              </w:rPr>
              <w:t>: 14 oktober</w:t>
            </w:r>
          </w:p>
        </w:tc>
      </w:tr>
      <w:tr w:rsidR="00934DD2" w:rsidRPr="00160784" w14:paraId="3365A911" w14:textId="6F11AC35" w:rsidTr="002166F7">
        <w:tc>
          <w:tcPr>
            <w:tcW w:w="1413" w:type="dxa"/>
          </w:tcPr>
          <w:p w14:paraId="258EA010" w14:textId="71A64B43" w:rsidR="00934DD2" w:rsidRDefault="00934DD2" w:rsidP="00EF1432">
            <w:r w:rsidRPr="002E5B0E">
              <w:t>16.00 -17.</w:t>
            </w:r>
            <w:r>
              <w:t>0</w:t>
            </w:r>
            <w:r w:rsidRPr="002E5B0E">
              <w:t>0</w:t>
            </w:r>
          </w:p>
          <w:p w14:paraId="6B9F5529" w14:textId="51CFFC29" w:rsidR="00934DD2" w:rsidRDefault="00934DD2" w:rsidP="00EF1432"/>
        </w:tc>
        <w:tc>
          <w:tcPr>
            <w:tcW w:w="2203" w:type="dxa"/>
          </w:tcPr>
          <w:p w14:paraId="67349C49" w14:textId="77777777" w:rsidR="003072E8" w:rsidRDefault="003072E8" w:rsidP="00154CC9">
            <w:r w:rsidRPr="00154CC9">
              <w:t>Theoretische uiteenzetting klinische testen postero-laterale en mediale hoek</w:t>
            </w:r>
            <w:r w:rsidR="00154CC9" w:rsidRPr="00154CC9">
              <w:t xml:space="preserve"> en ganganalyse</w:t>
            </w:r>
          </w:p>
          <w:p w14:paraId="51AC0974" w14:textId="5F0295B8" w:rsidR="00796F6D" w:rsidRPr="00154CC9" w:rsidRDefault="00796F6D" w:rsidP="00154CC9">
            <w:r w:rsidRPr="00796F6D">
              <w:rPr>
                <w:i/>
                <w:iCs/>
              </w:rPr>
              <w:t>Middels instructievorm/lezing</w:t>
            </w:r>
          </w:p>
        </w:tc>
        <w:tc>
          <w:tcPr>
            <w:tcW w:w="5446" w:type="dxa"/>
            <w:vMerge w:val="restart"/>
          </w:tcPr>
          <w:p w14:paraId="44ED0386" w14:textId="77777777" w:rsidR="0065015A" w:rsidRPr="00154CC9" w:rsidRDefault="0065015A" w:rsidP="0065015A">
            <w:r w:rsidRPr="00154CC9">
              <w:t>De specifieke testen van de postero-laterale en - mediale hoek vormen het centrale onderdeel. In zowel als theorie, praktijk, (bij elkaar oefenen) waarbij we uitgaan van de meest recente inzichten ten aanzien van letsels en de hierbij bruikbare testen (sensitiviteit en specificiteit).</w:t>
            </w:r>
          </w:p>
          <w:p w14:paraId="120E7131" w14:textId="57DA1518" w:rsidR="0065015A" w:rsidRDefault="0065015A" w:rsidP="0065015A">
            <w:r w:rsidRPr="00154CC9">
              <w:t>Evidence Based Practice als een leidraad zien in de analyse en behandeling van mensen met knieklachten.</w:t>
            </w:r>
            <w:r>
              <w:t xml:space="preserve"> </w:t>
            </w:r>
          </w:p>
          <w:p w14:paraId="2311A472" w14:textId="3968662C" w:rsidR="0065015A" w:rsidRPr="0076215F" w:rsidRDefault="0065015A" w:rsidP="0065015A">
            <w:pPr>
              <w:rPr>
                <w:color w:val="000000" w:themeColor="text1"/>
              </w:rPr>
            </w:pPr>
            <w:r>
              <w:t xml:space="preserve">Doel: </w:t>
            </w:r>
            <w:r w:rsidR="003072E8" w:rsidRPr="00154CC9">
              <w:t xml:space="preserve">De functionele anatomie van de knie kennen en kunnen interpreteren in relatie tot knie pathologie. De knie kunnen </w:t>
            </w:r>
            <w:r w:rsidR="003072E8" w:rsidRPr="0076215F">
              <w:rPr>
                <w:color w:val="000000" w:themeColor="text1"/>
              </w:rPr>
              <w:t xml:space="preserve">onderzoeken. </w:t>
            </w:r>
            <w:r w:rsidRPr="0076215F">
              <w:rPr>
                <w:color w:val="000000" w:themeColor="text1"/>
              </w:rPr>
              <w:t>De uitvoering van de knietesten volledig beheersen; daaraan worden immers hoge eisen gesteld.</w:t>
            </w:r>
          </w:p>
          <w:p w14:paraId="1408722E" w14:textId="1A023D95" w:rsidR="00934DD2" w:rsidRPr="00830D37" w:rsidRDefault="00830D37" w:rsidP="00830D37">
            <w:r w:rsidRPr="0076215F">
              <w:rPr>
                <w:color w:val="000000" w:themeColor="text1"/>
              </w:rPr>
              <w:t>Voor de ganganalyse wordt er behandeld hoe een ideaal looppatroon eruit ziet</w:t>
            </w:r>
            <w:r w:rsidR="00B5378E">
              <w:rPr>
                <w:color w:val="000000" w:themeColor="text1"/>
              </w:rPr>
              <w:t xml:space="preserve"> </w:t>
            </w:r>
            <w:r w:rsidRPr="0076215F">
              <w:rPr>
                <w:color w:val="000000" w:themeColor="text1"/>
              </w:rPr>
              <w:t>mbv de gemodificeerde ganganalyselijst</w:t>
            </w:r>
            <w:r w:rsidR="00032B62" w:rsidRPr="0076215F">
              <w:rPr>
                <w:color w:val="000000" w:themeColor="text1"/>
              </w:rPr>
              <w:t xml:space="preserve"> uit de Evidence Statement acuut knieletsel (eerste auteur: Frans Brooijmans)</w:t>
            </w:r>
          </w:p>
        </w:tc>
      </w:tr>
      <w:tr w:rsidR="00934DD2" w:rsidRPr="00160784" w14:paraId="7C2240CB" w14:textId="23110B2E" w:rsidTr="002166F7">
        <w:tc>
          <w:tcPr>
            <w:tcW w:w="1413" w:type="dxa"/>
          </w:tcPr>
          <w:p w14:paraId="5E13B895" w14:textId="72209EC7" w:rsidR="00934DD2" w:rsidRPr="00160784" w:rsidRDefault="00934DD2" w:rsidP="00EF1432">
            <w:r w:rsidRPr="00160784">
              <w:t>17:</w:t>
            </w:r>
            <w:r>
              <w:t>0</w:t>
            </w:r>
            <w:r w:rsidRPr="00160784">
              <w:t>0 – 1</w:t>
            </w:r>
            <w:r>
              <w:t>7</w:t>
            </w:r>
            <w:r w:rsidRPr="00160784">
              <w:t>:</w:t>
            </w:r>
            <w:r>
              <w:t>3</w:t>
            </w:r>
            <w:r w:rsidRPr="00160784">
              <w:t>0</w:t>
            </w:r>
          </w:p>
        </w:tc>
        <w:tc>
          <w:tcPr>
            <w:tcW w:w="2203" w:type="dxa"/>
          </w:tcPr>
          <w:p w14:paraId="27F42112" w14:textId="77777777" w:rsidR="003072E8" w:rsidRDefault="003072E8" w:rsidP="00EF1432">
            <w:r w:rsidRPr="00154CC9">
              <w:t>Praktische uitvoering van testen van de postero-laterale en mediale hoek</w:t>
            </w:r>
            <w:r w:rsidR="00154CC9" w:rsidRPr="00154CC9">
              <w:t xml:space="preserve"> en ganganalyse. </w:t>
            </w:r>
            <w:r w:rsidRPr="00154CC9">
              <w:t xml:space="preserve">  </w:t>
            </w:r>
          </w:p>
          <w:p w14:paraId="359D09F1" w14:textId="4D8C84B8" w:rsidR="00796F6D" w:rsidRPr="00796F6D" w:rsidRDefault="00796F6D" w:rsidP="00EF1432">
            <w:pPr>
              <w:rPr>
                <w:i/>
                <w:iCs/>
              </w:rPr>
            </w:pPr>
            <w:r w:rsidRPr="00796F6D">
              <w:rPr>
                <w:i/>
                <w:iCs/>
              </w:rPr>
              <w:t>Middels demonstratie en oefening</w:t>
            </w:r>
          </w:p>
        </w:tc>
        <w:tc>
          <w:tcPr>
            <w:tcW w:w="5446" w:type="dxa"/>
            <w:vMerge/>
          </w:tcPr>
          <w:p w14:paraId="5FE6AD97" w14:textId="77777777" w:rsidR="00934DD2" w:rsidRPr="00160784" w:rsidRDefault="00934DD2" w:rsidP="00EF1432"/>
        </w:tc>
      </w:tr>
      <w:tr w:rsidR="00934DD2" w:rsidRPr="00142345" w14:paraId="76344FE0" w14:textId="2F9E5771" w:rsidTr="00154CC9">
        <w:trPr>
          <w:trHeight w:val="248"/>
        </w:trPr>
        <w:tc>
          <w:tcPr>
            <w:tcW w:w="1413" w:type="dxa"/>
          </w:tcPr>
          <w:p w14:paraId="6D398CCC" w14:textId="507657E0" w:rsidR="00934DD2" w:rsidRPr="00160784" w:rsidRDefault="00934DD2" w:rsidP="00EF1432">
            <w:r w:rsidRPr="00160784">
              <w:t>1</w:t>
            </w:r>
            <w:r>
              <w:t>7</w:t>
            </w:r>
            <w:r w:rsidRPr="00160784">
              <w:t>.</w:t>
            </w:r>
            <w:r>
              <w:t>3</w:t>
            </w:r>
            <w:r w:rsidRPr="00160784">
              <w:t>0 -1</w:t>
            </w:r>
            <w:r>
              <w:t>8</w:t>
            </w:r>
            <w:r w:rsidRPr="00160784">
              <w:t>.00</w:t>
            </w:r>
          </w:p>
        </w:tc>
        <w:tc>
          <w:tcPr>
            <w:tcW w:w="2203" w:type="dxa"/>
          </w:tcPr>
          <w:p w14:paraId="53DB5582" w14:textId="64DB3662" w:rsidR="00934DD2" w:rsidRPr="00160784" w:rsidRDefault="00934DD2" w:rsidP="00EF1432">
            <w:r>
              <w:t>pauze</w:t>
            </w:r>
          </w:p>
        </w:tc>
        <w:tc>
          <w:tcPr>
            <w:tcW w:w="5446" w:type="dxa"/>
            <w:vMerge/>
          </w:tcPr>
          <w:p w14:paraId="688D5EDE" w14:textId="4397F77E" w:rsidR="00934DD2" w:rsidRPr="001E5A43" w:rsidRDefault="00934DD2" w:rsidP="00EF1432"/>
        </w:tc>
      </w:tr>
      <w:tr w:rsidR="00934DD2" w:rsidRPr="00142345" w14:paraId="6DAD2371" w14:textId="77777777" w:rsidTr="002166F7">
        <w:tc>
          <w:tcPr>
            <w:tcW w:w="1413" w:type="dxa"/>
          </w:tcPr>
          <w:p w14:paraId="166E9448" w14:textId="56C56442" w:rsidR="00934DD2" w:rsidRPr="00160784" w:rsidRDefault="00934DD2" w:rsidP="00EF1432">
            <w:r>
              <w:t>18:00 – 19:</w:t>
            </w:r>
            <w:r w:rsidR="00154CC9">
              <w:t>00</w:t>
            </w:r>
          </w:p>
        </w:tc>
        <w:tc>
          <w:tcPr>
            <w:tcW w:w="2203" w:type="dxa"/>
          </w:tcPr>
          <w:p w14:paraId="2B3B3EA3" w14:textId="2B9ABE12" w:rsidR="00934DD2" w:rsidRPr="00160784" w:rsidRDefault="00934DD2" w:rsidP="00EF1432">
            <w:r w:rsidRPr="00934DD2">
              <w:t>Vervolg</w:t>
            </w:r>
            <w:r w:rsidR="0076215F">
              <w:t xml:space="preserve"> </w:t>
            </w:r>
            <w:r w:rsidRPr="00934DD2">
              <w:t>testen en ganganalyse.</w:t>
            </w:r>
            <w:r w:rsidRPr="00E47B96">
              <w:rPr>
                <w:rFonts w:ascii="Century Gothic" w:hAnsi="Century Gothic"/>
              </w:rPr>
              <w:t xml:space="preserve">   </w:t>
            </w:r>
          </w:p>
        </w:tc>
        <w:tc>
          <w:tcPr>
            <w:tcW w:w="5446" w:type="dxa"/>
            <w:vMerge/>
          </w:tcPr>
          <w:p w14:paraId="1ADEBAB3" w14:textId="77777777" w:rsidR="00934DD2" w:rsidRPr="001E5A43" w:rsidRDefault="00934DD2" w:rsidP="00EF1432"/>
        </w:tc>
      </w:tr>
      <w:tr w:rsidR="00432E65" w:rsidRPr="00142345" w14:paraId="6316F88D" w14:textId="127D5C2B" w:rsidTr="00DD1605">
        <w:tc>
          <w:tcPr>
            <w:tcW w:w="1413" w:type="dxa"/>
          </w:tcPr>
          <w:p w14:paraId="4FE9300C" w14:textId="76C90793" w:rsidR="00432E65" w:rsidRPr="001E5A43" w:rsidRDefault="00432E65" w:rsidP="00EF1432">
            <w:r w:rsidRPr="001E5A43">
              <w:t>19.</w:t>
            </w:r>
            <w:r w:rsidR="00154CC9">
              <w:t>00</w:t>
            </w:r>
            <w:r w:rsidRPr="001E5A43">
              <w:t xml:space="preserve"> - 2</w:t>
            </w:r>
            <w:r w:rsidR="00DE7FAB">
              <w:t>0</w:t>
            </w:r>
            <w:r w:rsidRPr="001E5A43">
              <w:t>.</w:t>
            </w:r>
            <w:r w:rsidR="00DE7FAB">
              <w:t>45</w:t>
            </w:r>
            <w:r w:rsidRPr="001E5A43">
              <w:t xml:space="preserve"> </w:t>
            </w:r>
          </w:p>
          <w:p w14:paraId="3FE516F3" w14:textId="77777777" w:rsidR="00432E65" w:rsidRPr="001E5A43" w:rsidRDefault="00432E65" w:rsidP="00EF1432"/>
        </w:tc>
        <w:tc>
          <w:tcPr>
            <w:tcW w:w="2203" w:type="dxa"/>
          </w:tcPr>
          <w:p w14:paraId="52AE32E8" w14:textId="07144CC3" w:rsidR="00432E65" w:rsidRPr="00D9594F" w:rsidRDefault="00796F6D" w:rsidP="00EF1432">
            <w:r w:rsidRPr="00235DED">
              <w:rPr>
                <w:i/>
                <w:iCs/>
                <w:color w:val="000000" w:themeColor="text1"/>
              </w:rPr>
              <w:t>Interactieve voordracht</w:t>
            </w:r>
            <w:r w:rsidR="003072E8" w:rsidRPr="00154CC9">
              <w:t xml:space="preserve"> Orthopeed R. Janssen over de technische analyse van letsels van de posterolaterale en posteromediale hoek.</w:t>
            </w:r>
          </w:p>
        </w:tc>
        <w:tc>
          <w:tcPr>
            <w:tcW w:w="5446" w:type="dxa"/>
          </w:tcPr>
          <w:p w14:paraId="73312193" w14:textId="794ADA15" w:rsidR="00432E65" w:rsidRPr="00154CC9" w:rsidRDefault="003072E8" w:rsidP="00EF1432">
            <w:r w:rsidRPr="00154CC9">
              <w:t>Wat direct te doen, verwijsbeleid bij positieven test uitslagen. Wie wel en wie niet doorverwijzen</w:t>
            </w:r>
          </w:p>
          <w:p w14:paraId="6E459836" w14:textId="3BF11BD3" w:rsidR="003072E8" w:rsidRPr="001E5A43" w:rsidRDefault="003072E8" w:rsidP="00EF1432">
            <w:r w:rsidRPr="00154CC9">
              <w:t>Doel: Inzicht geven in de meest recente ontwikkelingen van gecombineerde letsels van de knie en wat na analyse van het letsel te doen</w:t>
            </w:r>
            <w:r w:rsidR="0076215F">
              <w:t xml:space="preserve"> (welke interventies, conservatief/operatief, zijn mogelijk?).</w:t>
            </w:r>
          </w:p>
        </w:tc>
      </w:tr>
      <w:tr w:rsidR="00432E65" w:rsidRPr="00D9594F" w14:paraId="52FBF626" w14:textId="7EED5177" w:rsidTr="00752F25">
        <w:tc>
          <w:tcPr>
            <w:tcW w:w="1413" w:type="dxa"/>
          </w:tcPr>
          <w:p w14:paraId="034A1E3B" w14:textId="1F70EB48" w:rsidR="00432E65" w:rsidRPr="001E5A43" w:rsidRDefault="00432E65" w:rsidP="00EF1432">
            <w:r w:rsidRPr="001E5A43">
              <w:t>2</w:t>
            </w:r>
            <w:r w:rsidR="00DE7FAB">
              <w:t>0</w:t>
            </w:r>
            <w:r w:rsidRPr="001E5A43">
              <w:t>:</w:t>
            </w:r>
            <w:r w:rsidR="00DE7FAB">
              <w:t>45</w:t>
            </w:r>
            <w:r w:rsidRPr="001E5A43">
              <w:t xml:space="preserve"> – 21:</w:t>
            </w:r>
            <w:r w:rsidR="00DE7FAB">
              <w:t>0</w:t>
            </w:r>
            <w:r w:rsidR="00154CC9">
              <w:t>0</w:t>
            </w:r>
          </w:p>
        </w:tc>
        <w:tc>
          <w:tcPr>
            <w:tcW w:w="7649" w:type="dxa"/>
            <w:gridSpan w:val="2"/>
          </w:tcPr>
          <w:p w14:paraId="715B3A30" w14:textId="5D62FD76" w:rsidR="00432E65" w:rsidRPr="00D9594F" w:rsidRDefault="00432E65" w:rsidP="00EF1432">
            <w:r w:rsidRPr="00D9594F">
              <w:t>Evaluatieformulieren invullen en bespreken eerste cursus dag</w:t>
            </w:r>
          </w:p>
        </w:tc>
      </w:tr>
      <w:tr w:rsidR="00432E65" w:rsidRPr="00142345" w14:paraId="66892109" w14:textId="53D43C4C" w:rsidTr="00633B91">
        <w:tc>
          <w:tcPr>
            <w:tcW w:w="9062" w:type="dxa"/>
            <w:gridSpan w:val="3"/>
          </w:tcPr>
          <w:p w14:paraId="101A0901" w14:textId="29A3D83C" w:rsidR="00432E65" w:rsidRPr="001E5A43" w:rsidRDefault="00432E65" w:rsidP="00EF1432">
            <w:pPr>
              <w:rPr>
                <w:b/>
                <w:bCs/>
              </w:rPr>
            </w:pPr>
            <w:r w:rsidRPr="001E5A43">
              <w:rPr>
                <w:b/>
                <w:bCs/>
              </w:rPr>
              <w:t>Dagdeel 2</w:t>
            </w:r>
            <w:r w:rsidR="00934DD2">
              <w:rPr>
                <w:b/>
                <w:bCs/>
              </w:rPr>
              <w:t>: 23 oktober</w:t>
            </w:r>
          </w:p>
        </w:tc>
      </w:tr>
      <w:tr w:rsidR="00432E65" w:rsidRPr="00D9594F" w14:paraId="3CE5ECF2" w14:textId="51D81339" w:rsidTr="00F90A93">
        <w:tc>
          <w:tcPr>
            <w:tcW w:w="1413" w:type="dxa"/>
          </w:tcPr>
          <w:p w14:paraId="35C54850" w14:textId="77777777" w:rsidR="00432E65" w:rsidRPr="001E5A43" w:rsidRDefault="00432E65" w:rsidP="00EF1432">
            <w:r w:rsidRPr="001E5A43">
              <w:t>9.30 -12.00</w:t>
            </w:r>
          </w:p>
          <w:p w14:paraId="6C73EA12" w14:textId="77777777" w:rsidR="00432E65" w:rsidRPr="001E5A43" w:rsidRDefault="00432E65" w:rsidP="00EF1432"/>
        </w:tc>
        <w:tc>
          <w:tcPr>
            <w:tcW w:w="2203" w:type="dxa"/>
          </w:tcPr>
          <w:p w14:paraId="35E7998B" w14:textId="77777777" w:rsidR="00432E65" w:rsidRPr="00D9594F" w:rsidRDefault="00432E65" w:rsidP="004640B4">
            <w:pPr>
              <w:jc w:val="left"/>
            </w:pPr>
            <w:r w:rsidRPr="00D9594F">
              <w:t xml:space="preserve">3) Casuïstiek toepassen </w:t>
            </w:r>
            <w:r w:rsidRPr="00235DED">
              <w:rPr>
                <w:i/>
                <w:iCs/>
                <w:color w:val="000000" w:themeColor="text1"/>
              </w:rPr>
              <w:t>in opdrachtvorm</w:t>
            </w:r>
            <w:r w:rsidRPr="00235DED">
              <w:rPr>
                <w:color w:val="000000" w:themeColor="text1"/>
              </w:rPr>
              <w:t xml:space="preserve"> </w:t>
            </w:r>
            <w:r w:rsidRPr="00D9594F">
              <w:t>van de opgedane kennis uit de afgelopen cursusdagen met een aantal kniepatiënten</w:t>
            </w:r>
          </w:p>
        </w:tc>
        <w:tc>
          <w:tcPr>
            <w:tcW w:w="5446" w:type="dxa"/>
          </w:tcPr>
          <w:p w14:paraId="615F9066" w14:textId="0FAFE4C6" w:rsidR="003072E8" w:rsidRPr="00154CC9" w:rsidRDefault="003072E8" w:rsidP="00154CC9">
            <w:r w:rsidRPr="00154CC9">
              <w:t xml:space="preserve">Casuïstiek toepassen (bij echte patiënten) met posterolaterale en -mediale hoekletsels met een aantal kniepatiënten. </w:t>
            </w:r>
          </w:p>
          <w:p w14:paraId="696663D2" w14:textId="10635E8D" w:rsidR="00432E65" w:rsidRPr="00D9594F" w:rsidRDefault="003072E8" w:rsidP="00154CC9">
            <w:r w:rsidRPr="00154CC9">
              <w:t xml:space="preserve">Doel: de dagelijkse praktijk samen realiseren. Afnemen anamnese, inspectie, en specieel klinisch onderzoek naar posterolaterale- en posteromediale hoekletsels. Vaak gaan deze letsels gepaard met kruisbandlestels. Plenair alle patiënten bespreken waarbij verantwoord wordt welke testen gekozen zijn en waarom. Ook wordt het klinisch onderzoek gedemonstreerd en eventuele pathologieen uitgelegd middels de kennis over het </w:t>
            </w:r>
            <w:r w:rsidRPr="0076215F">
              <w:rPr>
                <w:color w:val="000000" w:themeColor="text1"/>
              </w:rPr>
              <w:t>interpreteren van de gevonden tekenen bij het uitvoeren van de testen.</w:t>
            </w:r>
            <w:r w:rsidR="00830D37" w:rsidRPr="0076215F">
              <w:rPr>
                <w:color w:val="000000" w:themeColor="text1"/>
              </w:rPr>
              <w:t xml:space="preserve"> Tevens wordt er een analyse van het looppatroon gemaakt van de patiënten en worden de verbeterpunten voor therapie behandeld. Ook worden er </w:t>
            </w:r>
            <w:r w:rsidR="00032B62" w:rsidRPr="0076215F">
              <w:rPr>
                <w:color w:val="000000" w:themeColor="text1"/>
              </w:rPr>
              <w:t xml:space="preserve">therapeutische </w:t>
            </w:r>
            <w:r w:rsidR="00830D37" w:rsidRPr="0076215F">
              <w:rPr>
                <w:color w:val="000000" w:themeColor="text1"/>
              </w:rPr>
              <w:t>handvaten gegeven om deze verbeterpunten in het looppatroon te integreren.</w:t>
            </w:r>
          </w:p>
        </w:tc>
      </w:tr>
      <w:tr w:rsidR="00432E65" w:rsidRPr="00D9594F" w14:paraId="2838BEAD" w14:textId="181061A2" w:rsidTr="00F90A93">
        <w:tc>
          <w:tcPr>
            <w:tcW w:w="1413" w:type="dxa"/>
          </w:tcPr>
          <w:p w14:paraId="5BBFD1BC" w14:textId="77777777" w:rsidR="00432E65" w:rsidRPr="00D9594F" w:rsidRDefault="00432E65" w:rsidP="00EF1432">
            <w:r w:rsidRPr="00D9594F">
              <w:t>12.00 -12.30</w:t>
            </w:r>
          </w:p>
        </w:tc>
        <w:tc>
          <w:tcPr>
            <w:tcW w:w="2203" w:type="dxa"/>
          </w:tcPr>
          <w:p w14:paraId="68DE009F" w14:textId="77777777" w:rsidR="00432E65" w:rsidRPr="00D9594F" w:rsidRDefault="00432E65" w:rsidP="00EF1432">
            <w:r w:rsidRPr="00D9594F">
              <w:t>Pauze</w:t>
            </w:r>
          </w:p>
        </w:tc>
        <w:tc>
          <w:tcPr>
            <w:tcW w:w="5446" w:type="dxa"/>
          </w:tcPr>
          <w:p w14:paraId="477E3E5F" w14:textId="77777777" w:rsidR="00432E65" w:rsidRPr="00D9594F" w:rsidRDefault="00432E65" w:rsidP="00EF1432"/>
        </w:tc>
      </w:tr>
      <w:tr w:rsidR="00432E65" w:rsidRPr="00D9594F" w14:paraId="7ED2529D" w14:textId="512B9708" w:rsidTr="00F90A93">
        <w:tc>
          <w:tcPr>
            <w:tcW w:w="1413" w:type="dxa"/>
          </w:tcPr>
          <w:p w14:paraId="23F7B7C9" w14:textId="2E389D41" w:rsidR="00432E65" w:rsidRPr="00D9594F" w:rsidRDefault="00432E65" w:rsidP="00EF1432">
            <w:r w:rsidRPr="00D9594F">
              <w:t>12.30 -1</w:t>
            </w:r>
            <w:r w:rsidR="00154CC9">
              <w:t>4</w:t>
            </w:r>
            <w:r w:rsidRPr="00D9594F">
              <w:t>.45</w:t>
            </w:r>
          </w:p>
        </w:tc>
        <w:tc>
          <w:tcPr>
            <w:tcW w:w="2203" w:type="dxa"/>
          </w:tcPr>
          <w:p w14:paraId="6955C678" w14:textId="76A589A4" w:rsidR="00796F6D" w:rsidRPr="00830D37" w:rsidRDefault="00432E65" w:rsidP="004640B4">
            <w:pPr>
              <w:jc w:val="left"/>
            </w:pPr>
            <w:r w:rsidRPr="00D9594F">
              <w:t xml:space="preserve">3) </w:t>
            </w:r>
            <w:r w:rsidR="00934DD2">
              <w:t>EBM oefentherapie, praktijk</w:t>
            </w:r>
          </w:p>
          <w:p w14:paraId="715251B0" w14:textId="0C1F0E45" w:rsidR="00830D37" w:rsidRPr="00830D37" w:rsidRDefault="00830D37" w:rsidP="004640B4">
            <w:pPr>
              <w:jc w:val="left"/>
              <w:rPr>
                <w:i/>
                <w:iCs/>
              </w:rPr>
            </w:pPr>
            <w:r w:rsidRPr="0076215F">
              <w:rPr>
                <w:i/>
                <w:iCs/>
                <w:color w:val="000000" w:themeColor="text1"/>
              </w:rPr>
              <w:t>Instructievorm en opdrachtvorm</w:t>
            </w:r>
          </w:p>
        </w:tc>
        <w:tc>
          <w:tcPr>
            <w:tcW w:w="5446" w:type="dxa"/>
          </w:tcPr>
          <w:p w14:paraId="5642063F" w14:textId="77777777" w:rsidR="003072E8" w:rsidRPr="00154CC9" w:rsidRDefault="003072E8" w:rsidP="00154CC9">
            <w:r w:rsidRPr="00154CC9">
              <w:t>In dit onderdeel komt de functionele oefentherapie uitgebreid aan bod. U gaat ook zelf oefeningen doen en zult meemaken wat de patiënt ervaart tijdens de functionele oefentherapie.</w:t>
            </w:r>
          </w:p>
          <w:p w14:paraId="104DE38D" w14:textId="5AC3C980" w:rsidR="00432E65" w:rsidRPr="0076215F" w:rsidRDefault="003072E8" w:rsidP="0076215F">
            <w:r w:rsidRPr="00154CC9">
              <w:t>Doel: ervaren wat functionele training inhoudt. Aandachtsgebieden in de oefenstof zijn:</w:t>
            </w:r>
            <w:r w:rsidRPr="00154CC9">
              <w:tab/>
              <w:t>beweeglijkheid; specifieke rekkingsvormen</w:t>
            </w:r>
            <w:r w:rsidR="0076215F">
              <w:t xml:space="preserve">, </w:t>
            </w:r>
            <w:r w:rsidRPr="00154CC9">
              <w:t>balans</w:t>
            </w:r>
            <w:r w:rsidR="0076215F">
              <w:t xml:space="preserve">, </w:t>
            </w:r>
            <w:r w:rsidRPr="00154CC9">
              <w:t>“hop”vormen</w:t>
            </w:r>
            <w:r w:rsidR="0076215F">
              <w:t xml:space="preserve">, </w:t>
            </w:r>
            <w:r w:rsidRPr="00154CC9">
              <w:t>functionele krachtsoefeningen</w:t>
            </w:r>
            <w:r w:rsidR="00154CC9">
              <w:t xml:space="preserve"> </w:t>
            </w:r>
            <w:r w:rsidRPr="00154CC9">
              <w:t>(benen)</w:t>
            </w:r>
            <w:r w:rsidR="0076215F">
              <w:t xml:space="preserve">, </w:t>
            </w:r>
            <w:r w:rsidRPr="00154CC9">
              <w:t>“core-stability”</w:t>
            </w:r>
          </w:p>
        </w:tc>
      </w:tr>
      <w:tr w:rsidR="00432E65" w:rsidRPr="00D9594F" w14:paraId="6E098481" w14:textId="171F634E" w:rsidTr="008D2252">
        <w:tc>
          <w:tcPr>
            <w:tcW w:w="1413" w:type="dxa"/>
          </w:tcPr>
          <w:p w14:paraId="65B84240" w14:textId="795BE316" w:rsidR="00432E65" w:rsidRPr="00D9594F" w:rsidRDefault="00432E65" w:rsidP="00EF1432">
            <w:r w:rsidRPr="00D9594F">
              <w:t>1</w:t>
            </w:r>
            <w:r w:rsidR="00154CC9">
              <w:t>4</w:t>
            </w:r>
            <w:r w:rsidRPr="00D9594F">
              <w:t>:45</w:t>
            </w:r>
            <w:r>
              <w:t>-</w:t>
            </w:r>
            <w:r w:rsidRPr="00D9594F">
              <w:t>1</w:t>
            </w:r>
            <w:r w:rsidR="00154CC9">
              <w:t>5</w:t>
            </w:r>
            <w:r w:rsidRPr="00D9594F">
              <w:t xml:space="preserve">:00 </w:t>
            </w:r>
          </w:p>
        </w:tc>
        <w:tc>
          <w:tcPr>
            <w:tcW w:w="7649" w:type="dxa"/>
            <w:gridSpan w:val="2"/>
          </w:tcPr>
          <w:p w14:paraId="2A315AF7" w14:textId="56C51115" w:rsidR="00432E65" w:rsidRPr="00D9594F" w:rsidRDefault="00432E65" w:rsidP="00EF1432">
            <w:r w:rsidRPr="00D9594F">
              <w:t>Evaluatieformul</w:t>
            </w:r>
            <w:r>
              <w:t>i</w:t>
            </w:r>
            <w:r w:rsidRPr="00D9594F">
              <w:t>eren invullen en bespreken cursus</w:t>
            </w:r>
          </w:p>
        </w:tc>
      </w:tr>
    </w:tbl>
    <w:p w14:paraId="133022B6" w14:textId="54D2FDF5" w:rsidR="004B3CAF" w:rsidRDefault="00D0214B" w:rsidP="00AE2AF8">
      <w:pPr>
        <w:spacing w:after="0" w:line="240" w:lineRule="auto"/>
        <w:rPr>
          <w:rFonts w:ascii="Helvetica" w:eastAsia="Times New Roman" w:hAnsi="Helvetica" w:cstheme="minorHAnsi"/>
          <w:b/>
          <w:sz w:val="36"/>
          <w:szCs w:val="36"/>
          <w:lang w:eastAsia="nl-NL"/>
        </w:rPr>
      </w:pPr>
      <w:r w:rsidRPr="00AE2AF8">
        <w:rPr>
          <w:rFonts w:ascii="Helvetica" w:hAnsi="Helvetica"/>
          <w:noProof/>
        </w:rPr>
        <w:lastRenderedPageBreak/>
        <w:drawing>
          <wp:anchor distT="0" distB="0" distL="114300" distR="114300" simplePos="0" relativeHeight="251668480" behindDoc="0" locked="0" layoutInCell="1" allowOverlap="1" wp14:anchorId="5BBF0AAE" wp14:editId="31D2DC15">
            <wp:simplePos x="0" y="0"/>
            <wp:positionH relativeFrom="column">
              <wp:posOffset>4969106</wp:posOffset>
            </wp:positionH>
            <wp:positionV relativeFrom="paragraph">
              <wp:posOffset>-597882</wp:posOffset>
            </wp:positionV>
            <wp:extent cx="896816" cy="861646"/>
            <wp:effectExtent l="0" t="0" r="0" b="0"/>
            <wp:wrapNone/>
            <wp:docPr id="9" name="Afbeelding 9"/>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896816" cy="861646"/>
                    </a:xfrm>
                    <a:prstGeom prst="rect">
                      <a:avLst/>
                    </a:prstGeom>
                    <a:noFill/>
                    <a:ln>
                      <a:noFill/>
                    </a:ln>
                  </pic:spPr>
                </pic:pic>
              </a:graphicData>
            </a:graphic>
            <wp14:sizeRelH relativeFrom="page">
              <wp14:pctWidth>0</wp14:pctWidth>
            </wp14:sizeRelH>
            <wp14:sizeRelV relativeFrom="page">
              <wp14:pctHeight>0</wp14:pctHeight>
            </wp14:sizeRelV>
          </wp:anchor>
        </w:drawing>
      </w:r>
      <w:r w:rsidR="00180B83" w:rsidRPr="00AE2AF8">
        <w:rPr>
          <w:rFonts w:ascii="Helvetica" w:eastAsia="Times New Roman" w:hAnsi="Helvetica" w:cstheme="minorHAnsi"/>
          <w:b/>
          <w:sz w:val="36"/>
          <w:szCs w:val="36"/>
          <w:lang w:eastAsia="nl-NL"/>
        </w:rPr>
        <w:t>Literatuurlijst</w:t>
      </w:r>
    </w:p>
    <w:p w14:paraId="3D6572A6" w14:textId="77777777" w:rsidR="00327622" w:rsidRDefault="00327622" w:rsidP="00AE2AF8">
      <w:pPr>
        <w:spacing w:after="0" w:line="240" w:lineRule="auto"/>
        <w:rPr>
          <w:rFonts w:ascii="Helvetica" w:eastAsia="Times New Roman" w:hAnsi="Helvetica" w:cstheme="minorHAnsi"/>
          <w:b/>
          <w:sz w:val="36"/>
          <w:szCs w:val="36"/>
          <w:lang w:eastAsia="nl-NL"/>
        </w:rPr>
      </w:pPr>
    </w:p>
    <w:p w14:paraId="4252CA90" w14:textId="67464210" w:rsidR="005D5D58" w:rsidRPr="00645A8E" w:rsidRDefault="00F062AE" w:rsidP="00F062AE">
      <w:pPr>
        <w:spacing w:after="0" w:line="240" w:lineRule="auto"/>
        <w:rPr>
          <w:rFonts w:ascii="Helvetica" w:eastAsia="Times New Roman" w:hAnsi="Helvetica" w:cstheme="minorHAnsi"/>
          <w:bCs/>
          <w:color w:val="000000" w:themeColor="text1"/>
          <w:sz w:val="22"/>
          <w:szCs w:val="22"/>
          <w:lang w:val="en-US" w:eastAsia="nl-NL"/>
        </w:rPr>
      </w:pPr>
      <w:r w:rsidRPr="00F062AE">
        <w:rPr>
          <w:rFonts w:ascii="Helvetica" w:eastAsia="Times New Roman" w:hAnsi="Helvetica" w:cstheme="minorHAnsi"/>
          <w:bCs/>
          <w:color w:val="000000" w:themeColor="text1"/>
          <w:sz w:val="22"/>
          <w:szCs w:val="22"/>
          <w:lang w:eastAsia="nl-NL"/>
        </w:rPr>
        <w:t>Bijgevoegd de literatuur betreft de zelfstudie. Bestuur de artikelen betreft de posteromediale hoek</w:t>
      </w:r>
      <w:r w:rsidR="005D5D58" w:rsidRPr="00F062AE">
        <w:rPr>
          <w:rFonts w:ascii="Helvetica" w:eastAsia="Times New Roman" w:hAnsi="Helvetica" w:cstheme="minorHAnsi"/>
          <w:bCs/>
          <w:color w:val="000000" w:themeColor="text1"/>
          <w:sz w:val="22"/>
          <w:szCs w:val="22"/>
          <w:lang w:eastAsia="nl-NL"/>
        </w:rPr>
        <w:fldChar w:fldCharType="begin" w:fldLock="1"/>
      </w:r>
      <w:r w:rsidR="00E95DBE">
        <w:rPr>
          <w:rFonts w:ascii="Helvetica" w:eastAsia="Times New Roman" w:hAnsi="Helvetica" w:cstheme="minorHAnsi"/>
          <w:bCs/>
          <w:color w:val="000000" w:themeColor="text1"/>
          <w:sz w:val="22"/>
          <w:szCs w:val="22"/>
          <w:lang w:eastAsia="nl-NL"/>
        </w:rPr>
        <w:instrText>ADDIN CSL_CITATION {"citationItems":[{"id":"ITEM-1","itemData":{"author":[{"dropping-particle":"","family":"Jacobson","given":"Kurt E","non-dropping-particle":"","parse-names":false,"suffix":""},{"dropping-particle":"","family":"Chi","given":"Frederic S","non-dropping-particle":"","parse-names":false,"suffix":""}],"container-title":"Sports Med Arthrosc Rev","id":"ITEM-1","issue":"2","issued":{"date-parts":[["2006"]]},"page":"58-66","title":"Evaluation and Treatment of Medial Collateral Ligament","type":"article-journal","volume":"14"},"uris":["http://www.mendeley.com/documents/?uuid=72f32fbf-0131-4165-8303-4574b999a8af"]},{"id":"ITEM-2","itemData":{"DOI":"10.1097/JSA.0000000000000066","ISSN":"15381951","PMID":"25932881","abstract":"The medial collateral ligament (MCL) is the most commonly injured knee ligament. Most will heal well with nonoperative treatment. However, not all medial knee injuries are the same. A detailed physical examination can help determine the severity of the medial-sided injury. When combined with advanced imaging, the examination will delineate damage to associated medial knee structures, including the location of MCL damage, posteromedial capsule injuries, and combined cruciate injuries. Failure to recognize MCL injuries that may be prone to chronic laxity can lead to significant disability, joint damage, and failure of concomitant cruciate ligament reconstructions. Magnetic resonance imaging is the mainstay of diagnostic imaging, with coronal sequences allowing full assessment of the MCL complex. Tangential views aid in the diagnosis of concomitant injuries. Stress radiography can play a role in evaluating MCL healing and subtle chronic laxity. Ultrasonography is also gaining acceptance as a means to assess MCL injuries. Use of a detailed examination and advanced imaging will allow optimal treatment of medial knee injuries and improve clinical outcomes.","author":[{"dropping-particle":"","family":"Kurzweil","given":"Peter R.","non-dropping-particle":"","parse-names":false,"suffix":""},{"dropping-particle":"","family":"Kelley","given":"ST","non-dropping-particle":"","parse-names":false,"suffix":""}],"container-title":"Sports Medicine and Arthroscopy Review","id":"ITEM-2","issue":"2","issued":{"date-parts":[["2006"]]},"page":"67-73","title":"Physical examination and imaging of medial collateral ligament and posteromedial corner of the knee","type":"article-journal","volume":"14"},"uris":["http://www.mendeley.com/documents/?uuid=63d05029-5f12-4e3b-bdb7-332f7f5c48b1"]},{"id":"ITEM-3","itemData":{"DOI":"10.1007/s00167-019-05491-6","ISSN":"14337347","PMID":"30949749","abstract":"Purpose: Medial collateral ligament (MCL) injury is the single most common traumatic knee injury in football. The purpose of this study was to study the epidemiology and mechanisms of MCL injury in men’s professional football and to evaluate the diagnostic and treatment methods used. Methods: Fifty-one teams were followed prospectively between one and three full seasons (2013/2014–2015/2016). Individual player exposure and time-loss injuries were recorded by the teams’ medical staffs. Moreover, details on clinical grading, imaging findings and specific treatments were recorded for all injuries with MCL injury of the knee as the main diagnosis. Agreement between magnetic resonance imaging (MRI) and clinical grading (grades I–III) was described by weighted kappa. Results: One hundred and thirty of 4364 registered injuries (3%) were MCL injuries. Most MCL injuries (98 injuries, 75%) occurred with a contact mechanism, where the two most common playing situations were being tackled (38 injuries, 29%) and tackling (15 injuries, 12%). MRI was used in 88 (68%) of the injuries, while 33 (25%) were diagnosed by clinical examination alone. In the 88 cases in which both MRI and clinical examination were used to evaluate the grading of MCL injury, 80 (92% agreement) were equally evaluated with a weighted kappa of 0.87 (95% CI 0.77–0.96). Using a stabilising knee brace in players who sustained a grade II MCL injury was associated with a longer lay-off period compared with players who did not use a brace (41.5 (SD 13.2) vs. 31.5 (SD 20.3) days, p = 0.010). Conclusion: Three-quarter of the MCL injuries occurred with a contact mechanism. The clinical grading of MCL injuries showed almost perfect agreement with MRI grading, in cases where the MCL injury is the primary diagnosis. Not all grade II MCL injuries were treated with a brace and may thus indicate that routine bracing should not be necessary in milder cases. Level of evidence: Prospective cohort study, II.","author":[{"dropping-particle":"","family":"Lundblad","given":"Matilda","non-dropping-particle":"","parse-names":false,"suffix":""},{"dropping-particle":"","family":"Hägglund","given":"Martin","non-dropping-particle":"","parse-names":false,"suffix":""},{"dropping-particle":"","family":"Thomeé","given":"Christoffer","non-dropping-particle":"","parse-names":false,"suffix":""},{"dropping-particle":"","family":"Hamrin Senorski","given":"Eric","non-dropping-particle":"","parse-names":false,"suffix":""},{"dropping-particle":"","family":"Ekstrand","given":"Jan","non-dropping-particle":"","parse-names":false,"suffix":""},{"dropping-particle":"","family":"Karlsson","given":"Jón","non-dropping-particle":"","parse-names":false,"suffix":""},{"dropping-particle":"","family":"Waldén","given":"Markus","non-dropping-particle":"","parse-names":false,"suffix":""}],"container-title":"Knee Surgery, Sports Traumatology, Arthroscopy","id":"ITEM-3","issue":"11","issued":{"date-parts":[["2019"]]},"page":"3692-3698","title":"Medial collateral ligament injuries of the knee in male professional football players: a prospective three-season study of 130 cases from the UEFA Elite Club Injury Study","type":"article-journal","volume":"27"},"uris":["http://www.mendeley.com/documents/?uuid=b8bc6387-61c7-408e-ae86-3fe107498c87"]},{"id":"ITEM-4","itemData":{"ISSN":"15415457","PMID":"16789454","abstract":"Medial collateral ligament (MCL) injury is one of the most common knee injuries, especially in young athletic patients. Most MCL injuries can be managed conservatively with good results. However, a complete understanding of knee anatomy and the involved structures is necessary to make intelligent treatment decisions. We will review the anatomy and biomechanics of the MCL, classification systems for MCL injuries, and operative and nonoperative treatment for acute and chronic MCL injuries.","author":[{"dropping-particle":"","family":"Phisitkul","given":"Phinit","non-dropping-particle":"","parse-names":false,"suffix":""},{"dropping-particle":"","family":"James","given":"Stan L.","non-dropping-particle":"","parse-names":false,"suffix":""},{"dropping-particle":"","family":"Wolf","given":"Brian R.","non-dropping-particle":"","parse-names":false,"suffix":""},{"dropping-particle":"","family":"Amendola","given":"Annunziato","non-dropping-particle":"","parse-names":false,"suffix":""}],"container-title":"The Iowa orthopaedic journal","id":"ITEM-4","issued":{"date-parts":[["2006"]]},"page":"77-90","title":"MCL injuries of the knee: current concepts review.","type":"article-journal","volume":"26"},"uris":["http://www.mendeley.com/documents/?uuid=98762eaa-2887-48bd-b4ec-dda8129bc7ed"]},{"id":"ITEM-5","itemData":{"DOI":"10.2519/jospt.2012.3624","ISSN":"01906011","abstract":"Injuries to the medial side of the knee are the most common knee ligament injuries. The majority of injuries occur in young athletes during sporting events, with the usual mechanism involving a valgus contact, tibial external rotation, or a combined valgus and external rotation force delivered to the knee. Although most complete grade III medial knee injuries heal, some do not, which can lead to continued instability. For these patients, a thorough understanding of the presenting history and a physical examination are important because these injuries can often be confused with posterolateral corner injuries. The main anatomic structures of the medial side of the knee are the superficial medial collateral ligament, deep medial collateral ligament, and posterior oblique ligament. In addition, accurately locating 3 bony prominences over the medial aspect of the knee-the adductor tubercle, gastrocnemius tubercle, and medial epicondyle-is important to conduct a proper physical examination and for surgical repairs and reconstructions. Clinical diagnosis of medial knee injuries is primarily performed via the application of a valgus stress in full extension and at 30° of knee flexion. In addition, an examination of the amount of anteromedial tibial rotation is performed at 90° of flexion, while the dial test, performed at 30° and 90° of flexion, is important because it evaluates for rotational abnormalities. Valgus stress radiographs are useful to objectively determine the amount of medial compartment gapping and to discern whether there is medial or lateral compartment gapping when a medial or posterolateral corner knee injury cannot be differentiated, especially with a chronic injury. The majority of acute grade III medial knee injuries will heal after a nonoperative rehabilitation program. In most instances when there is a knee dislocation or multiligament injury, a primary repair with sutures may be indicated. In severe midsubstance injuries or chronic medial knee injuries, an anatomic medial knee reconstruction with grafts may be indicated. Rehabilitation principles for acute medial knee injuries involve controlling edema, regaining range of motion, and avoiding any significant stress on the healing ligaments. A well-guided rehabilitation program can result in excellent functional outcomes in the majority of patients.","author":[{"dropping-particle":"","family":"LaPrade","given":"Robert F.","non-dropping-particle":"","parse-names":false,"suffix":""},{"dropping-particle":"","family":"Wijdicks","given":"Coen A.","non-dropping-particle":"","parse-names":false,"suffix":""}],"container-title":"Journal of Orthopaedic and Sports Physical Therapy","id":"ITEM-5","issue":"3","issued":{"date-parts":[["2012"]]},"page":"221-233","title":"The management of injuries to the medial side of the Knee","type":"article-journal","volume":"42"},"uris":["http://www.mendeley.com/documents/?uuid=60561594-ab58-4736-8224-121e934854f7"]}],"mendeley":{"formattedCitation":"&lt;sup&gt;1–5&lt;/sup&gt;","plainTextFormattedCitation":"1–5","previouslyFormattedCitation":"&lt;sup&gt;1–5&lt;/sup&gt;"},"properties":{"noteIndex":0},"schema":"https://github.com/citation-style-language/schema/raw/master/csl-citation.json"}</w:instrText>
      </w:r>
      <w:r w:rsidR="005D5D58" w:rsidRPr="00F062AE">
        <w:rPr>
          <w:rFonts w:ascii="Helvetica" w:eastAsia="Times New Roman" w:hAnsi="Helvetica" w:cstheme="minorHAnsi"/>
          <w:bCs/>
          <w:color w:val="000000" w:themeColor="text1"/>
          <w:sz w:val="22"/>
          <w:szCs w:val="22"/>
          <w:lang w:eastAsia="nl-NL"/>
        </w:rPr>
        <w:fldChar w:fldCharType="separate"/>
      </w:r>
      <w:r w:rsidR="005D5D58" w:rsidRPr="00F062AE">
        <w:rPr>
          <w:rFonts w:ascii="Helvetica" w:eastAsia="Times New Roman" w:hAnsi="Helvetica" w:cstheme="minorHAnsi"/>
          <w:bCs/>
          <w:noProof/>
          <w:color w:val="000000" w:themeColor="text1"/>
          <w:sz w:val="22"/>
          <w:szCs w:val="22"/>
          <w:vertAlign w:val="superscript"/>
          <w:lang w:eastAsia="nl-NL"/>
        </w:rPr>
        <w:t>1–5</w:t>
      </w:r>
      <w:r w:rsidR="005D5D58" w:rsidRPr="00F062AE">
        <w:rPr>
          <w:rFonts w:ascii="Helvetica" w:eastAsia="Times New Roman" w:hAnsi="Helvetica" w:cstheme="minorHAnsi"/>
          <w:bCs/>
          <w:color w:val="000000" w:themeColor="text1"/>
          <w:sz w:val="22"/>
          <w:szCs w:val="22"/>
          <w:lang w:eastAsia="nl-NL"/>
        </w:rPr>
        <w:fldChar w:fldCharType="end"/>
      </w:r>
      <w:r w:rsidRPr="00F062AE">
        <w:rPr>
          <w:rFonts w:ascii="Helvetica" w:eastAsia="Times New Roman" w:hAnsi="Helvetica" w:cstheme="minorHAnsi"/>
          <w:bCs/>
          <w:color w:val="000000" w:themeColor="text1"/>
          <w:sz w:val="22"/>
          <w:szCs w:val="22"/>
          <w:lang w:eastAsia="nl-NL"/>
        </w:rPr>
        <w:t>, posterolaterale hoek</w:t>
      </w:r>
      <w:r w:rsidR="005D5D58" w:rsidRPr="00F062AE">
        <w:rPr>
          <w:rFonts w:ascii="Helvetica" w:eastAsia="Times New Roman" w:hAnsi="Helvetica" w:cstheme="minorHAnsi"/>
          <w:bCs/>
          <w:color w:val="000000" w:themeColor="text1"/>
          <w:sz w:val="22"/>
          <w:szCs w:val="22"/>
          <w:lang w:eastAsia="nl-NL"/>
        </w:rPr>
        <w:fldChar w:fldCharType="begin" w:fldLock="1"/>
      </w:r>
      <w:r w:rsidR="00E95DBE">
        <w:rPr>
          <w:rFonts w:ascii="Helvetica" w:eastAsia="Times New Roman" w:hAnsi="Helvetica" w:cstheme="minorHAnsi"/>
          <w:bCs/>
          <w:color w:val="000000" w:themeColor="text1"/>
          <w:sz w:val="22"/>
          <w:szCs w:val="22"/>
          <w:lang w:eastAsia="nl-NL"/>
        </w:rPr>
        <w:instrText>ADDIN CSL_CITATION {"citationItems":[{"id":"ITEM-1","itemData":{"DOI":"10.1016/S0020-1383(03)00094-9","ISSN":"00201383","PMID":"14728958","abstract":"The structures within the posterolateral corner of the knee have recently been \"re-discovered\" providing a very important role in maintaining the stability of the knee. Injury to the posterolateral corner is not common but neither is it rare; it is usually damaged in combination with rupture of one of the cruciate ligaments in direct and indirect trauma to the knee. When reconstructing a knee to restore stability following such injuries, it is important to recognise damage to the posterolateral corner so that this can be corrected. Ignored damage to this region may result in continuing knee instability and resultant failure of cruciate ligament reconstruction. We present a review of the anatomy and biomechanics of the structures in the posterolateral corner. This is then related to the diagnosis of injuries to the region via history, examination and imaging. We then discuss the management of injuries to the posterolateral corner describing our preferred method of repair. © 2003 Elsevier Science Ltd. All rights reserved.","author":[{"dropping-particle":"","family":"Davies","given":"Hywel","non-dropping-particle":"","parse-names":false,"suffix":""},{"dropping-particle":"","family":"Unwin","given":"Andrew","non-dropping-particle":"","parse-names":false,"suffix":""},{"dropping-particle":"","family":"Aichroth","given":"Paul","non-dropping-particle":"","parse-names":false,"suffix":""}],"container-title":"Injury, Int. J. Care Injured","id":"ITEM-1","issue":"1","issued":{"date-parts":[["2004"]]},"page":"68-75","title":"The posterolateral corner of the knee: Anatomy, biomechanics and management of injuries","type":"article-journal","volume":"35"},"uris":["http://www.mendeley.com/documents/?uuid=96708240-29fc-4638-8347-eb80079e5e69"]},{"id":"ITEM-2","itemData":{"DOI":"10.1097/01.blo.0000026222.49620.4d","author":[{"dropping-particle":"","family":"Laprade","given":"Robert F","non-dropping-particle":"","parse-names":false,"suffix":""},{"dropping-particle":"","family":"Wentorf","given":"Fred","non-dropping-particle":"","parse-names":false,"suffix":""}],"container-title":"Clinical Orthopaedics and Related Research","id":"ITEM-2","issue":"402","issued":{"date-parts":[["2002"]]},"page":"110-121","title":"Diagnosis and Treatment of posterolateral injuries.pdf","type":"article-journal"},"uris":["http://www.mendeley.com/documents/?uuid=8d6bfb61-5093-4f11-bb32-e3de448e7fb8"]},{"id":"ITEM-3","itemData":{"DOI":"10.2106/JBJS.J.01243","ISSN":"00219355","PMID":"21411682","abstract":"BACKGROUND: Chronic posterolateral knee injuries often result in substantial patient morbidity and functional instability. The clinical stability and functional outcomes following anatomic reconstructions in patients with a chronic posterolateral knee injury have not been determined, to our knowledge. METHODS: A two-center outcomes study of sixty-four patients with grade-3 chronic posterolateral instability was performed. The patients were evaluated subjectively with the modified Cincinnati and International Knee Documentation Committee (IKDC) subjective scores and objectively with the IKDC objective score. RESULTS: Eighteen patients had an isolated posterolateral knee reconstruction, and forty-six patients underwent a singlestage multiple-ligament reconstruction that included reconstruction of one or both cruciate ligaments along with the posterolateral knee reconstruction. The average duration of follow-up was 4.3 years. The fifty-four patients who were available for follow-up had an average total Cincinnati score of 65.7 points. A significant improvement was found between the preoperative and postoperative IKDC objective scores for varus opening at 20°, external rotation at 30°, reverse pivot shift, and single-leg hop. CONCLUSIONS: An anatomic posterolateral reconstruction resulted in improved clinical outcomes and objective stability for patients with a grade-3 posterolateral knee injury. LEVEL OF EVIDENCE: Therapeutic Level IV. See Instructions to Authors for a complete description of levels of evidence. Copyright © 2011 by The Journal of Bone and Joint Surgery, Incorporated.","author":[{"dropping-particle":"","family":"LaPrade","given":"Robert F.","non-dropping-particle":"","parse-names":false,"suffix":""},{"dropping-particle":"","family":"Johansen","given":"Steinar","non-dropping-particle":"","parse-names":false,"suffix":""},{"dropping-particle":"","family":"Agel","given":"J","non-dropping-particle":"","parse-names":false,"suffix":""},{"dropping-particle":"","family":"Eisberg","given":"MA","non-dropping-particle":"","parse-names":false,"suffix":""},{"dropping-particle":"","family":"Moksnes","given":"H","non-dropping-particle":"","parse-names":false,"suffix":""},{"dropping-particle":"","family":"Engebretsen","given":"Lars","non-dropping-particle":"","parse-names":false,"suffix":""}],"container-title":"Journal of Bone and Joint Surgery","id":"ITEM-3","issued":{"date-parts":[["2010"]]},"page":"16-22","title":"Outcomes of an anatomic posterolateral knee reconstruction","type":"article-journal","volume":"92"},"uris":["http://www.mendeley.com/documents/?uuid=496ff38b-8dc6-4b2d-8ba0-8a77e5305300"]},{"id":"ITEM-4","itemData":{"ISSN":"00195847","PMID":"22315768","abstract":"Injuries to the posterolateral corner of the knee continue to be a complex problem for orthopedic surgeons. Early recognition and treatment are important factors in the patient’s long-term outcome. To properly treat these patients, the surgeon must have a clear understanding of the anatomic relationships amongst the structures in the posterolateral knee. This knowledge combined with a thorough physical examina- tion and imaging studies, allows the surgeon to make the correct diagnosis and devise an appropriate treatment plan. This article will discuss the anatomy, diagnosis, and treatment options to improve the surgeon’s understanding of posterolateral knee injuries. The senior author’s technique for anatomic reconstruc- tion of the posterolateral corner of the knee and the rehabilita- tion","author":[{"dropping-particle":"","family":"Cooper","given":"JM","non-dropping-particle":"","parse-names":false,"suffix":""},{"dropping-particle":"","family":"McAndrews","given":"PT","non-dropping-particle":"","parse-names":false,"suffix":""},{"dropping-particle":"","family":"LaPrade","given":"RF","non-dropping-particle":"","parse-names":false,"suffix":""}],"container-title":"Sports Med Artrosc Rev","id":"ITEM-4","issue":"4","issued":{"date-parts":[["2006"]]},"page":"213-220","title":"Posterolateral corner injuries of the knee: anatomy, diagnosis, and treatment","type":"article-journal","volume":"14"},"uris":["http://www.mendeley.com/documents/?uuid=4b2aaafe-5742-40de-997b-94ed8dcc3f57"]}],"mendeley":{"formattedCitation":"&lt;sup&gt;6–9&lt;/sup&gt;","plainTextFormattedCitation":"6–9","previouslyFormattedCitation":"&lt;sup&gt;6–9&lt;/sup&gt;"},"properties":{"noteIndex":0},"schema":"https://github.com/citation-style-language/schema/raw/master/csl-citation.json"}</w:instrText>
      </w:r>
      <w:r w:rsidR="005D5D58" w:rsidRPr="00F062AE">
        <w:rPr>
          <w:rFonts w:ascii="Helvetica" w:eastAsia="Times New Roman" w:hAnsi="Helvetica" w:cstheme="minorHAnsi"/>
          <w:bCs/>
          <w:color w:val="000000" w:themeColor="text1"/>
          <w:sz w:val="22"/>
          <w:szCs w:val="22"/>
          <w:lang w:eastAsia="nl-NL"/>
        </w:rPr>
        <w:fldChar w:fldCharType="separate"/>
      </w:r>
      <w:r w:rsidR="005D5D58" w:rsidRPr="00F062AE">
        <w:rPr>
          <w:rFonts w:ascii="Helvetica" w:eastAsia="Times New Roman" w:hAnsi="Helvetica" w:cstheme="minorHAnsi"/>
          <w:bCs/>
          <w:noProof/>
          <w:color w:val="000000" w:themeColor="text1"/>
          <w:sz w:val="22"/>
          <w:szCs w:val="22"/>
          <w:vertAlign w:val="superscript"/>
          <w:lang w:eastAsia="nl-NL"/>
        </w:rPr>
        <w:t>6–9</w:t>
      </w:r>
      <w:r w:rsidR="005D5D58" w:rsidRPr="00F062AE">
        <w:rPr>
          <w:rFonts w:ascii="Helvetica" w:eastAsia="Times New Roman" w:hAnsi="Helvetica" w:cstheme="minorHAnsi"/>
          <w:bCs/>
          <w:color w:val="000000" w:themeColor="text1"/>
          <w:sz w:val="22"/>
          <w:szCs w:val="22"/>
          <w:lang w:eastAsia="nl-NL"/>
        </w:rPr>
        <w:fldChar w:fldCharType="end"/>
      </w:r>
      <w:r w:rsidRPr="00F062AE">
        <w:rPr>
          <w:rFonts w:ascii="Helvetica" w:eastAsia="Times New Roman" w:hAnsi="Helvetica" w:cstheme="minorHAnsi"/>
          <w:bCs/>
          <w:color w:val="000000" w:themeColor="text1"/>
          <w:sz w:val="22"/>
          <w:szCs w:val="22"/>
          <w:lang w:eastAsia="nl-NL"/>
        </w:rPr>
        <w:t>, RAMP-leasies</w:t>
      </w:r>
      <w:r w:rsidR="005D5D58" w:rsidRPr="00F062AE">
        <w:rPr>
          <w:rFonts w:ascii="Helvetica" w:eastAsia="Times New Roman" w:hAnsi="Helvetica" w:cstheme="minorHAnsi"/>
          <w:bCs/>
          <w:color w:val="000000" w:themeColor="text1"/>
          <w:sz w:val="22"/>
          <w:szCs w:val="22"/>
          <w:lang w:eastAsia="nl-NL"/>
        </w:rPr>
        <w:fldChar w:fldCharType="begin" w:fldLock="1"/>
      </w:r>
      <w:r w:rsidR="00E95DBE">
        <w:rPr>
          <w:rFonts w:ascii="Helvetica" w:eastAsia="Times New Roman" w:hAnsi="Helvetica" w:cstheme="minorHAnsi"/>
          <w:bCs/>
          <w:color w:val="000000" w:themeColor="text1"/>
          <w:sz w:val="22"/>
          <w:szCs w:val="22"/>
          <w:lang w:eastAsia="nl-NL"/>
        </w:rPr>
        <w:instrText>ADDIN CSL_CITATION {"citationItems":[{"id":"ITEM-1","itemData":{"DOI":"10.1016/j.csm.2019.08.010","ISSN":"1556228X","PMID":"31767111","abstract":"Meniscal ramp lesions occur much more frequently than was previously considered, and particularly so in ACL-injured knees. The historically high rate of missed diagnoses is a result of unfamiliarity with this injury pattern within the orthopedic community, and also the difficulty in diagnosis. A systematic exploration of the posteromedial compartment of the knee is mandatory to reliably identify ramp lesions. Failure to recognize and repair these injuries is associated with persistent anterior and posteromedial instability. Understanding their nature, biomechanics, and epidemiology is essential in allowing orthopedic surgeons to suspect their presence and adequately treat these lesions.","author":[{"dropping-particle":"","family":"Sonnery-Cottet","given":"Bertrand","non-dropping-particle":"","parse-names":false,"suffix":""},{"dropping-particle":"","family":"Serra Cruz","given":"Raphael","non-dropping-particle":"","parse-names":false,"suffix":""},{"dropping-particle":"","family":"Vieira","given":"Thais Dutra","non-dropping-particle":"","parse-names":false,"suffix":""},{"dropping-particle":"","family":"Goes","given":"Rodrigo A.","non-dropping-particle":"","parse-names":false,"suffix":""},{"dropping-particle":"","family":"Saithna","given":"Adnan","non-dropping-particle":"","parse-names":false,"suffix":""}],"container-title":"Clinics in Sports Medicine","id":"ITEM-1","issue":"1","issued":{"date-parts":[["2020"]]},"page":"69-81","title":"Ramp Lesions: An Unrecognized Posteromedial Instability?","type":"article-journal","volume":"39"},"uris":["http://www.mendeley.com/documents/?uuid=da6b667d-5a34-4d53-9526-d08c37c2cc74"]}],"mendeley":{"formattedCitation":"&lt;sup&gt;10&lt;/sup&gt;","plainTextFormattedCitation":"10","previouslyFormattedCitation":"&lt;sup&gt;10&lt;/sup&gt;"},"properties":{"noteIndex":0},"schema":"https://github.com/citation-style-language/schema/raw/master/csl-citation.json"}</w:instrText>
      </w:r>
      <w:r w:rsidR="005D5D58" w:rsidRPr="00F062AE">
        <w:rPr>
          <w:rFonts w:ascii="Helvetica" w:eastAsia="Times New Roman" w:hAnsi="Helvetica" w:cstheme="minorHAnsi"/>
          <w:bCs/>
          <w:color w:val="000000" w:themeColor="text1"/>
          <w:sz w:val="22"/>
          <w:szCs w:val="22"/>
          <w:lang w:eastAsia="nl-NL"/>
        </w:rPr>
        <w:fldChar w:fldCharType="separate"/>
      </w:r>
      <w:r w:rsidR="005D5D58" w:rsidRPr="00F062AE">
        <w:rPr>
          <w:rFonts w:ascii="Helvetica" w:eastAsia="Times New Roman" w:hAnsi="Helvetica" w:cstheme="minorHAnsi"/>
          <w:bCs/>
          <w:noProof/>
          <w:color w:val="000000" w:themeColor="text1"/>
          <w:sz w:val="22"/>
          <w:szCs w:val="22"/>
          <w:vertAlign w:val="superscript"/>
          <w:lang w:eastAsia="nl-NL"/>
        </w:rPr>
        <w:t>10</w:t>
      </w:r>
      <w:r w:rsidR="005D5D58" w:rsidRPr="00F062AE">
        <w:rPr>
          <w:rFonts w:ascii="Helvetica" w:eastAsia="Times New Roman" w:hAnsi="Helvetica" w:cstheme="minorHAnsi"/>
          <w:bCs/>
          <w:color w:val="000000" w:themeColor="text1"/>
          <w:sz w:val="22"/>
          <w:szCs w:val="22"/>
          <w:lang w:eastAsia="nl-NL"/>
        </w:rPr>
        <w:fldChar w:fldCharType="end"/>
      </w:r>
      <w:r w:rsidRPr="00F062AE">
        <w:rPr>
          <w:rFonts w:ascii="Helvetica" w:eastAsia="Times New Roman" w:hAnsi="Helvetica" w:cstheme="minorHAnsi"/>
          <w:bCs/>
          <w:color w:val="000000" w:themeColor="text1"/>
          <w:sz w:val="22"/>
          <w:szCs w:val="22"/>
          <w:lang w:eastAsia="nl-NL"/>
        </w:rPr>
        <w:t xml:space="preserve">, de </w:t>
      </w:r>
      <w:r w:rsidR="005D5D58" w:rsidRPr="00F062AE">
        <w:rPr>
          <w:rFonts w:ascii="Helvetica" w:eastAsia="Times New Roman" w:hAnsi="Helvetica" w:cstheme="minorHAnsi"/>
          <w:bCs/>
          <w:color w:val="000000" w:themeColor="text1"/>
          <w:sz w:val="22"/>
          <w:szCs w:val="22"/>
          <w:lang w:eastAsia="nl-NL"/>
        </w:rPr>
        <w:t>ALL</w:t>
      </w:r>
      <w:r w:rsidR="005D5D58" w:rsidRPr="00F062AE">
        <w:rPr>
          <w:rFonts w:ascii="Helvetica" w:eastAsia="Times New Roman" w:hAnsi="Helvetica" w:cstheme="minorHAnsi"/>
          <w:bCs/>
          <w:color w:val="000000" w:themeColor="text1"/>
          <w:sz w:val="22"/>
          <w:szCs w:val="22"/>
          <w:lang w:eastAsia="nl-NL"/>
        </w:rPr>
        <w:fldChar w:fldCharType="begin" w:fldLock="1"/>
      </w:r>
      <w:r w:rsidR="00E95DBE">
        <w:rPr>
          <w:rFonts w:ascii="Helvetica" w:eastAsia="Times New Roman" w:hAnsi="Helvetica" w:cstheme="minorHAnsi"/>
          <w:bCs/>
          <w:color w:val="000000" w:themeColor="text1"/>
          <w:sz w:val="22"/>
          <w:szCs w:val="22"/>
          <w:lang w:eastAsia="nl-NL"/>
        </w:rPr>
        <w:instrText>ADDIN CSL_CITATION {"citationItems":[{"id":"ITEM-1","itemData":{"DOI":"10.1007/s10195-017-0449-8","ISSN":"15909999","PMID":"28220268","abstract":"Purpose of this paper is to provide an overview of the latest research on the anterolateral ligament (ALL) and present the consensus of the ALL Expert Group on the anatomy, radiographic landmarks, biomechanics, clinical and radiographic diagnosis, lesion classification, surgical technique and clinical outcomes. A consensus on controversial subjects surrounding the ALL and anterolateral knee instability has been established based on the opinion of experts, the latest publications on the subject and an exchange of experiences during the ALL Experts Meeting (November 2015, Lyon, France). The ALL is found deep to the iliotibial band. The femoral origin is just posterior and proximal to the lateral epicondyle; the tibial attachment is 21.6 mm posterior to Gerdy’s tubercle and 4–10 mm below the tibial joint line. On a lateral radiographic view the femoral origin is located in the postero-inferior quadrant and the tibial attachment is close to the centre of the proximal tibial plateau. Favourable isometry of an ALL reconstruction is seen when the femoral position is proximal and posterior to the lateral epicondyle, with the ALL being tight upon extension and lax upon flexion. The ALL can be visualised on ultrasound, or on T2-weighted coronal MRI scans with proton density fat-suppressed evaluation. The ALL injury is associated with a Segond fracture, and often occurs in conjunction with acute anterior cruciate ligament (ACL) injury. Recognition and repair of the ALL lesions should be considered to improve the control of rotational stability provided by ACL reconstruction. For high-risk patients, a combined ACL and ALL reconstruction improves rotational control and reduces the rate of re-rupture, without increased postoperative complication rates compared to ACL-only reconstruction. In conclusion this paper provides a contemporary consensus on all studied features of the ALL. The findings warrant future research in order to further test these early observations, with the ultimate goal of improving the long-term outcomes of ACL-injured patients. Level of evidence Level V—Expert opinion.","author":[{"dropping-particle":"","family":"Sonnery-Cottet","given":"Bertrand","non-dropping-particle":"","parse-names":false,"suffix":""},{"dropping-particle":"","family":"Daggett","given":"Matthew","non-dropping-particle":"","parse-names":false,"suffix":""},{"dropping-particle":"","family":"Fayard","given":"Jean Marie","non-dropping-particle":"","parse-names":false,"suffix":""},{"dropping-particle":"","family":"Ferretti","given":"Andrea","non-dropping-particle":"","parse-names":false,"suffix":""},{"dropping-particle":"","family":"Helito","given":"Camilo Partezani","non-dropping-particle":"","parse-names":false,"suffix":""},{"dropping-particle":"","family":"Lind","given":"Martin","non-dropping-particle":"","parse-names":false,"suffix":""},{"dropping-particle":"","family":"Monaco","given":"Edoardo","non-dropping-particle":"","parse-names":false,"suffix":""},{"dropping-particle":"","family":"Pádua","given":"Vitor Barion Castro","non-dropping-particle":"de","parse-names":false,"suffix":""},{"dropping-particle":"","family":"Thaunat","given":"Mathieu","non-dropping-particle":"","parse-names":false,"suffix":""},{"dropping-particle":"","family":"Wilson","given":"Adrian","non-dropping-particle":"","parse-names":false,"suffix":""},{"dropping-particle":"","family":"Zaffagnini","given":"Stefano","non-dropping-particle":"","parse-names":false,"suffix":""},{"dropping-particle":"","family":"Zijl","given":"Jacco","non-dropping-particle":"","parse-names":false,"suffix":""},{"dropping-particle":"","family":"Claes","given":"Steven","non-dropping-particle":"","parse-names":false,"suffix":""}],"container-title":"Journal of Orthopaedics and Traumatology","id":"ITEM-1","issue":"2","issued":{"date-parts":[["2017"]]},"page":"91-106","title":"Anterolateral Ligament Expert Group consensus paper on the management of internal rotation and instability of the anterior cruciate ligament - deficient knee","type":"article-journal","volume":"18"},"uris":["http://www.mendeley.com/documents/?uuid=55f658cd-a07f-4345-827b-910967a98fa6"]}],"mendeley":{"formattedCitation":"&lt;sup&gt;11&lt;/sup&gt;","plainTextFormattedCitation":"11","previouslyFormattedCitation":"&lt;sup&gt;11&lt;/sup&gt;"},"properties":{"noteIndex":0},"schema":"https://github.com/citation-style-language/schema/raw/master/csl-citation.json"}</w:instrText>
      </w:r>
      <w:r w:rsidR="005D5D58" w:rsidRPr="00F062AE">
        <w:rPr>
          <w:rFonts w:ascii="Helvetica" w:eastAsia="Times New Roman" w:hAnsi="Helvetica" w:cstheme="minorHAnsi"/>
          <w:bCs/>
          <w:color w:val="000000" w:themeColor="text1"/>
          <w:sz w:val="22"/>
          <w:szCs w:val="22"/>
          <w:lang w:eastAsia="nl-NL"/>
        </w:rPr>
        <w:fldChar w:fldCharType="separate"/>
      </w:r>
      <w:r w:rsidR="005D5D58" w:rsidRPr="00F062AE">
        <w:rPr>
          <w:rFonts w:ascii="Helvetica" w:eastAsia="Times New Roman" w:hAnsi="Helvetica" w:cstheme="minorHAnsi"/>
          <w:bCs/>
          <w:noProof/>
          <w:color w:val="000000" w:themeColor="text1"/>
          <w:sz w:val="22"/>
          <w:szCs w:val="22"/>
          <w:vertAlign w:val="superscript"/>
          <w:lang w:eastAsia="nl-NL"/>
        </w:rPr>
        <w:t>11</w:t>
      </w:r>
      <w:r w:rsidR="005D5D58" w:rsidRPr="00F062AE">
        <w:rPr>
          <w:rFonts w:ascii="Helvetica" w:eastAsia="Times New Roman" w:hAnsi="Helvetica" w:cstheme="minorHAnsi"/>
          <w:bCs/>
          <w:color w:val="000000" w:themeColor="text1"/>
          <w:sz w:val="22"/>
          <w:szCs w:val="22"/>
          <w:lang w:eastAsia="nl-NL"/>
        </w:rPr>
        <w:fldChar w:fldCharType="end"/>
      </w:r>
      <w:r w:rsidRPr="00F062AE">
        <w:rPr>
          <w:rFonts w:ascii="Helvetica" w:eastAsia="Times New Roman" w:hAnsi="Helvetica" w:cstheme="minorHAnsi"/>
          <w:bCs/>
          <w:color w:val="000000" w:themeColor="text1"/>
          <w:sz w:val="22"/>
          <w:szCs w:val="22"/>
          <w:lang w:eastAsia="nl-NL"/>
        </w:rPr>
        <w:t>, ganganalyse</w:t>
      </w:r>
      <w:r w:rsidR="00096C11">
        <w:rPr>
          <w:rFonts w:ascii="Helvetica" w:eastAsia="Times New Roman" w:hAnsi="Helvetica" w:cstheme="minorHAnsi"/>
          <w:bCs/>
          <w:color w:val="000000" w:themeColor="text1"/>
          <w:sz w:val="22"/>
          <w:szCs w:val="22"/>
          <w:lang w:eastAsia="nl-NL"/>
        </w:rPr>
        <w:fldChar w:fldCharType="begin" w:fldLock="1"/>
      </w:r>
      <w:r w:rsidR="00096C11">
        <w:rPr>
          <w:rFonts w:ascii="Helvetica" w:eastAsia="Times New Roman" w:hAnsi="Helvetica" w:cstheme="minorHAnsi"/>
          <w:bCs/>
          <w:color w:val="000000" w:themeColor="text1"/>
          <w:sz w:val="22"/>
          <w:szCs w:val="22"/>
          <w:lang w:eastAsia="nl-NL"/>
        </w:rPr>
        <w:instrText>ADDIN CSL_CITATION {"citationItems":[{"id":"ITEM-1","itemData":{"DOI":"10.4085/1062-6050-52.6.06","ISSN":"1938162X","PMID":"28985125","abstract":"reconstruction (ACLR) result in persistent alterations in lower extremity movement patterns. The progression of lower extremity biomechanics from the time of injury has not been described. Objective: To compare the 3-dimensional (3D) lower extremity kinematics and kinetics of walking among individuals with ACL deficiency (ACLD), individuals with ACLR, and healthy control participants from 3 to 64 months after ACLR. Data Sources: We searched PubMed and Web of Science from 1970 through 2013. Study Selection and Data Extraction: We selected only articles that provided peak kinematic and kinetic values during walking in individuals with ACLD or ACLR and comparison with a healthy control group or the contralateral uninjured limb. Data Synthesis: A total of 27 of 511 identified studies were included. Weighted means, pooled standard deviations, and 95% confidence intervals were calculated for the healthy control, ACLD, and ACLR groups at each reported time since surgery. The magnitude of between-groups (ACLR versus ACLD, control, or contralateral limb) differences at each time point was evaluated using Cohen d effect sizes and associated 95% confidence intervals. Peak knee-flexion angle (Cohen d=-0.41) and external knee-extensor moment (Cohen d =-0.68) were smaller in the ACLD than in the healthy control group. Peak knee-flexion angle (Cohen d range =-0.78 to-1.23) and external knee-extensor moment (Cohen d range =-1.39 to -2.16) were smaller in the ACLR group from 10 to 40 months after ACLR. Reductions in external knee-Adduction moment (Cohen d range =-0.50 to-1.23) were present from 9 to 42 months after ACLR. Conclusions: Reductions in peak knee-flexion angle, external knee-flexion moment, and external knee-Adduction moment were present in the ACLD and ACLR groups. This movement profile during the loading phase of gait has been linked to knee-cartilage degeneration and may contribute to the development of osteoarthritis after ACLR.","author":[{"dropping-particle":"V.","family":"Slater","given":"Lindsay","non-dropping-particle":"","parse-names":false,"suffix":""},{"dropping-particle":"","family":"Hart","given":"Joseph M.","non-dropping-particle":"","parse-names":false,"suffix":""},{"dropping-particle":"","family":"Kelly","given":"Adam R.","non-dropping-particle":"","parse-names":false,"suffix":""},{"dropping-particle":"","family":"Kuenze","given":"Christopher M.","non-dropping-particle":"","parse-names":false,"suffix":""}],"container-title":"Journal of Athletic Training","id":"ITEM-1","issue":"9","issued":{"date-parts":[["2017"]]},"page":"847-860","title":"Progressive changes in walking kinematics and kinetics after anterior cruciate ligament injury and reconstruction: A review and meta-Analysis","type":"article-journal","volume":"52"},"uris":["http://www.mendeley.com/documents/?uuid=bc744519-1c3e-4cf4-81b3-2be2c7efb01e"]},{"id":"ITEM-2","itemData":{"DOI":"10.1177/0363546520980079.Quadriceps","ISBN":"0471140864","abstract":"Genetic and epigenetic heterogeneity is emerging as a fundamental property of human cancers. Reflecting the genesis of tumors as an evolutionary process driven by clonal selection. The complexity of clonal architecture has been known for many years in the setting of acute myeloid leukemia (AML), based on karyotyping studies. However the true complexity of AMLs is only now being understood thanks to in depth genome sequencing studies in humans, which reveal that heterogeneity is a multilayered and involves not only the genome but also the epigenome. Here, we review recent advances in genetic and epigenetic heterogeneity and clonal dynamics in AML and their relevance to biology, clinical outcomes and therapeutic implications. Special attention is focused on somatic mutations affecting regulators of cytosine methylation, since these tend to occur early in disease evolution, reprogram the epigenome of hematopoietic stem cells, and are linked to unfavorable outcome.","author":[{"dropping-particle":"","family":"Arhos","given":"EK","non-dropping-particle":"","parse-names":false,"suffix":""},{"dropping-particle":"","family":"Capin","given":"JJ","non-dropping-particle":"","parse-names":false,"suffix":""},{"dropping-particle":"","family":"Buchanan","given":"TS","non-dropping-particle":"","parse-names":false,"suffix":""},{"dropping-particle":"","family":"Snyder-Mackler","given":"L","non-dropping-particle":"","parse-names":false,"suffix":""}],"container-title":"Am J Sports Med.","id":"ITEM-2","issue":"2","issued":{"date-parts":[["2021"]]},"page":"417-425","title":"Quadriceps Strength Symmetry Does Not Modify Gait Mechanics after ACL Reconstruction, Rehabilitation, and Return-to-Sport Training","type":"article-journal","volume":"49"},"uris":["http://www.mendeley.com/documents/?uuid=6d1c2c9d-ea5f-40a2-91c7-38c2d5ffd2ac"]},{"id":"ITEM-3","itemData":{"author":[{"dropping-particle":"","family":"Brooijmans","given":"F.A.M.","non-dropping-particle":"","parse-names":false,"suffix":""},{"dropping-particle":"","family":"Lenssen","given":"A.F.T.","non-dropping-particle":"","parse-names":false,"suffix":""},{"dropping-particle":"","family":"Melick","given":"N","non-dropping-particle":"van","parse-names":false,"suffix":""},{"dropping-particle":"","family":"Knoop","given":"J","non-dropping-particle":"","parse-names":false,"suffix":""},{"dropping-particle":"","family":"Rondhuis","given":"G","non-dropping-particle":"","parse-names":false,"suffix":""},{"dropping-particle":"","family":"Neeleman-van der Steen","given":"C.W.M.","non-dropping-particle":"","parse-names":false,"suffix":""},{"dropping-particle":"","family":"Tak","given":"I.J.R.","non-dropping-particle":"","parse-names":false,"suffix":""},{"dropping-particle":"","family":"Hullegie","given":"W.","non-dropping-particle":"","parse-names":false,"suffix":""},{"dropping-particle":"","family":"Hendriks","given":"E","non-dropping-particle":"","parse-names":false,"suffix":""},{"dropping-particle":"","family":"Janssen","given":"R.P.A.","non-dropping-particle":"","parse-names":false,"suffix":""}],"id":"ITEM-3","issued":{"date-parts":[["2015"]]},"page":"1-26","title":"KNGF Evidence Statement Acuut Knieletsel","type":"article-journal"},"uris":["http://www.mendeley.com/documents/?uuid=538ae20e-0f1b-48b8-b8ca-a4807085329a"]}],"mendeley":{"formattedCitation":"&lt;sup&gt;12–14&lt;/sup&gt;","plainTextFormattedCitation":"12–14","previouslyFormattedCitation":"&lt;sup&gt;12–14&lt;/sup&gt;"},"properties":{"noteIndex":0},"schema":"https://github.com/citation-style-language/schema/raw/master/csl-citation.json"}</w:instrText>
      </w:r>
      <w:r w:rsidR="00096C11">
        <w:rPr>
          <w:rFonts w:ascii="Helvetica" w:eastAsia="Times New Roman" w:hAnsi="Helvetica" w:cstheme="minorHAnsi"/>
          <w:bCs/>
          <w:color w:val="000000" w:themeColor="text1"/>
          <w:sz w:val="22"/>
          <w:szCs w:val="22"/>
          <w:lang w:eastAsia="nl-NL"/>
        </w:rPr>
        <w:fldChar w:fldCharType="separate"/>
      </w:r>
      <w:r w:rsidR="00096C11" w:rsidRPr="00096C11">
        <w:rPr>
          <w:rFonts w:ascii="Helvetica" w:eastAsia="Times New Roman" w:hAnsi="Helvetica" w:cstheme="minorHAnsi"/>
          <w:bCs/>
          <w:noProof/>
          <w:color w:val="000000" w:themeColor="text1"/>
          <w:sz w:val="22"/>
          <w:szCs w:val="22"/>
          <w:vertAlign w:val="superscript"/>
          <w:lang w:eastAsia="nl-NL"/>
        </w:rPr>
        <w:t>12–14</w:t>
      </w:r>
      <w:r w:rsidR="00096C11">
        <w:rPr>
          <w:rFonts w:ascii="Helvetica" w:eastAsia="Times New Roman" w:hAnsi="Helvetica" w:cstheme="minorHAnsi"/>
          <w:bCs/>
          <w:color w:val="000000" w:themeColor="text1"/>
          <w:sz w:val="22"/>
          <w:szCs w:val="22"/>
          <w:lang w:eastAsia="nl-NL"/>
        </w:rPr>
        <w:fldChar w:fldCharType="end"/>
      </w:r>
      <w:r w:rsidRPr="00F062AE">
        <w:rPr>
          <w:rFonts w:ascii="Helvetica" w:eastAsia="Times New Roman" w:hAnsi="Helvetica" w:cstheme="minorHAnsi"/>
          <w:bCs/>
          <w:color w:val="000000" w:themeColor="text1"/>
          <w:sz w:val="22"/>
          <w:szCs w:val="22"/>
          <w:lang w:eastAsia="nl-NL"/>
        </w:rPr>
        <w:t xml:space="preserve"> (kijk ook specifiek naar de gemodificeerde ganganalyse lijst in de Evidence Statement acuut knieletsel), revalidatie en</w:t>
      </w:r>
      <w:r w:rsidRPr="00096C11">
        <w:rPr>
          <w:rFonts w:ascii="Helvetica" w:eastAsia="Times New Roman" w:hAnsi="Helvetica" w:cstheme="minorHAnsi"/>
          <w:bCs/>
          <w:color w:val="000000" w:themeColor="text1"/>
          <w:sz w:val="22"/>
          <w:szCs w:val="22"/>
          <w:lang w:eastAsia="nl-NL"/>
        </w:rPr>
        <w:t xml:space="preserve"> krachttraining</w:t>
      </w:r>
      <w:r w:rsidR="00096C11">
        <w:rPr>
          <w:rFonts w:ascii="Helvetica" w:eastAsia="Times New Roman" w:hAnsi="Helvetica" w:cstheme="minorHAnsi"/>
          <w:bCs/>
          <w:color w:val="000000" w:themeColor="text1"/>
          <w:sz w:val="22"/>
          <w:szCs w:val="22"/>
          <w:lang w:eastAsia="nl-NL"/>
        </w:rPr>
        <w:fldChar w:fldCharType="begin" w:fldLock="1"/>
      </w:r>
      <w:r w:rsidR="00096C11">
        <w:rPr>
          <w:rFonts w:ascii="Helvetica" w:eastAsia="Times New Roman" w:hAnsi="Helvetica" w:cstheme="minorHAnsi"/>
          <w:bCs/>
          <w:color w:val="000000" w:themeColor="text1"/>
          <w:sz w:val="22"/>
          <w:szCs w:val="22"/>
          <w:lang w:eastAsia="nl-NL"/>
        </w:rPr>
        <w:instrText>ADDIN CSL_CITATION {"citationItems":[{"id":"ITEM-1","itemData":{"abstract":"Sporters gebruiken al bijna een kwart eeuw BCAA's. Een sportsupplement dat zich zo lang kan handhaven moet sporters wel iets te bieden hebben. En dat is zo, constateert Krachttraining nadat het de beschikbare studies heeft gewikt en gewogen.","author":[{"dropping-particle":"","family":"Goolberg","given":"Toine","non-dropping-particle":"van","parse-names":false,"suffix":""},{"dropping-particle":"","family":"Hein","given":"Erik","non-dropping-particle":"","parse-names":false,"suffix":""}],"container-title":"CME online/de Rehaboom","id":"ITEM-1","issued":{"date-parts":[["0"]]},"page":"5-8","title":"Het Kracht Revalidatie Systeem (KRS)","type":"article-journal"},"uris":["http://www.mendeley.com/documents/?uuid=ae6f2c85-f03b-4a8d-9bfb-19e7ac534f0d"]},{"id":"ITEM-2","itemData":{"DOI":"10.1007/s00167-009-1027-2","ISBN":"0016700910","ISSN":"09422056","PMID":"20069277","abstract":"Following a bone-patellar tendon-bone autograft (BPTB) or four-stranded semitendinosus/gracilis tendons autograft (ST/G) anterior cruciate ligament (ACL) reconstruction, the speed and safety with which an athlete returns to sports (or regains the pre-injury level of function) depends on the rehabilitation protocol. Considering the large differences in clinical and outpatient protocols, there is no consensus regarding the content of such a rehabilitation program. Therefore, we conducted a systematic review to develop an optimal evidence-based rehabilitation protocol to enable unambiguous, practical and useful treatment after ACL reconstruction. The systematic literature search identified 1,096 citations published between January 1995 and December 2006. Thirty-two soundly based rehabilitation programs, randomized clinical trials (RCT's) and reviews were included in which common physical therapy modalities (instruction, bracing, cryotherapy, joint mobility training, muscle-strength training, gait re-education, training of neuromuscular function/balance and proprioception) or rehabilitation programs were evaluated following ACL reconstruction with a BPTB or ST/G graft. Two reviews were excluded because of poor quality. Finally, the extracted data were combined with information from background literature to develop an optimal evidence-based rehabilitation protocol. The results clearly indicated that an accelerated protocol without postoperative bracing, in which reduction of pain, swelling and inflammation, regaining range of motion, strength and neuromuscular control are the most important aims, has important advantages and does not lead to stability problems. Preclinical sessions, clear starting times and control of the rehabilitation aims with objective and subjective tests facilitate an uncomplicated rehabilitation course. Consensus about this evidence-based accelerated protocol will not only enhance the speed and safety with which an athlete returns to sports, but a standardized method of outcome measurement and reporting will also increase the evidential value of future articles. © 2009 Springer-Verlag.","author":[{"dropping-particle":"","family":"Grinsven","given":"S.","non-dropping-particle":"van","parse-names":false,"suffix":""},{"dropping-particle":"","family":"Cingel","given":"R. E.H.","non-dropping-particle":"van","parse-names":false,"suffix":""},{"dropping-particle":"","family":"Holla","given":"C. J.M.","non-dropping-particle":"","parse-names":false,"suffix":""},{"dropping-particle":"","family":"Loon","given":"C. J.M.","non-dropping-particle":"van","parse-names":false,"suffix":""}],"container-title":"Knee Surgery, Sports Traumatology, Arthroscopy","id":"ITEM-2","issue":"8","issued":{"date-parts":[["2010"]]},"page":"1128-1144","title":"Evidence-based rehabilitation following anterior cruciate ligament reconstruction","type":"article-journal","volume":"18"},"uris":["http://www.mendeley.com/documents/?uuid=b5a4370c-e84d-4929-8bfc-bdf1a1d0087f"]},{"id":"ITEM-3","itemData":{"abstract":"KNGF-richtlijn revalidatie na voorste kruisband reconstructie","author":[{"dropping-particle":"","family":"Melick","given":"N","non-dropping-particle":"van","parse-names":false,"suffix":""},{"dropping-particle":"","family":"Hullegie","given":"W","non-dropping-particle":"","parse-names":false,"suffix":""},{"dropping-particle":"","family":"Brooijmans","given":"F","non-dropping-particle":"","parse-names":false,"suffix":""},{"dropping-particle":"","family":"Hendriks","given":"E","non-dropping-particle":"","parse-names":false,"suffix":""},{"dropping-particle":"","family":"Neeter","given":"C","non-dropping-particle":"","parse-names":false,"suffix":""},{"dropping-particle":"","family":"Tienen","given":"T","non-dropping-particle":"van","parse-names":false,"suffix":""},{"dropping-particle":"","family":"Cingel","given":"R.","non-dropping-particle":"van","parse-names":false,"suffix":""}],"id":"ITEM-3","issued":{"date-parts":[["2014"]]},"page":"1-18","title":"KNGF Evidence Statement Revalidatie na voorste-kruisbandreconstructie","type":"article-journal"},"uris":["http://www.mendeley.com/documents/?uuid=6a611511-3d19-48c8-bc88-69ba954944bb"]},{"id":"ITEM-4","itemData":{"abstract":"Alle onderdelen van de richtlijn, inclusief een samenvatting, zijn beschikbaar via www.kngfrichtlijnen.nl.","author":[{"dropping-particle":"","family":"Neeleman-Van Der Steen","given":"C W M","non-dropping-particle":"","parse-names":false,"suffix":""},{"dropping-particle":"","family":"Rondhuis","given":"G","non-dropping-particle":"","parse-names":false,"suffix":""},{"dropping-particle":"","family":"Moorsel","given":"S R","non-dropping-particle":"Van","parse-names":false,"suffix":""},{"dropping-particle":"","family":"Brooijmans","given":"F","non-dropping-particle":"","parse-names":false,"suffix":""},{"dropping-particle":"","family":"Lenssen","given":"A F","non-dropping-particle":"","parse-names":false,"suffix":""},{"dropping-particle":"","family":"Hullegie","given":"W","non-dropping-particle":"","parse-names":false,"suffix":""},{"dropping-particle":"","family":"Veldhuizen","given":"H J","non-dropping-particle":"","parse-names":false,"suffix":""},{"dropping-particle":"","family":"Hendriks","given":"H J M","non-dropping-particle":"","parse-names":false,"suffix":""}],"id":"ITEM-4","issue":"119","issued":{"date-parts":[["2006"]]},"page":"1-19","title":"KNGF-richtlijn Meniscectomie Praktijkrichtlijn","type":"article-journal"},"uris":["http://www.mendeley.com/documents/?uuid=e9688a1e-3f0d-4606-931c-854c8ca65103"]}],"mendeley":{"formattedCitation":"&lt;sup&gt;15–18&lt;/sup&gt;","plainTextFormattedCitation":"15–18"},"properties":{"noteIndex":0},"schema":"https://github.com/citation-style-language/schema/raw/master/csl-citation.json"}</w:instrText>
      </w:r>
      <w:r w:rsidR="00096C11">
        <w:rPr>
          <w:rFonts w:ascii="Helvetica" w:eastAsia="Times New Roman" w:hAnsi="Helvetica" w:cstheme="minorHAnsi"/>
          <w:bCs/>
          <w:color w:val="000000" w:themeColor="text1"/>
          <w:sz w:val="22"/>
          <w:szCs w:val="22"/>
          <w:lang w:eastAsia="nl-NL"/>
        </w:rPr>
        <w:fldChar w:fldCharType="separate"/>
      </w:r>
      <w:r w:rsidR="00096C11" w:rsidRPr="00096C11">
        <w:rPr>
          <w:rFonts w:ascii="Helvetica" w:eastAsia="Times New Roman" w:hAnsi="Helvetica" w:cstheme="minorHAnsi"/>
          <w:bCs/>
          <w:noProof/>
          <w:color w:val="000000" w:themeColor="text1"/>
          <w:sz w:val="22"/>
          <w:szCs w:val="22"/>
          <w:vertAlign w:val="superscript"/>
          <w:lang w:eastAsia="nl-NL"/>
        </w:rPr>
        <w:t>15–18</w:t>
      </w:r>
      <w:r w:rsidR="00096C11">
        <w:rPr>
          <w:rFonts w:ascii="Helvetica" w:eastAsia="Times New Roman" w:hAnsi="Helvetica" w:cstheme="minorHAnsi"/>
          <w:bCs/>
          <w:color w:val="000000" w:themeColor="text1"/>
          <w:sz w:val="22"/>
          <w:szCs w:val="22"/>
          <w:lang w:eastAsia="nl-NL"/>
        </w:rPr>
        <w:fldChar w:fldCharType="end"/>
      </w:r>
      <w:r w:rsidRPr="00F062AE">
        <w:rPr>
          <w:rFonts w:ascii="Helvetica" w:eastAsia="Times New Roman" w:hAnsi="Helvetica" w:cstheme="minorHAnsi"/>
          <w:bCs/>
          <w:color w:val="000000" w:themeColor="text1"/>
          <w:sz w:val="22"/>
          <w:szCs w:val="22"/>
          <w:lang w:eastAsia="nl-NL"/>
        </w:rPr>
        <w:t xml:space="preserve"> en be</w:t>
      </w:r>
      <w:r>
        <w:rPr>
          <w:rFonts w:ascii="Helvetica" w:eastAsia="Times New Roman" w:hAnsi="Helvetica" w:cstheme="minorHAnsi"/>
          <w:bCs/>
          <w:color w:val="000000" w:themeColor="text1"/>
          <w:sz w:val="22"/>
          <w:szCs w:val="22"/>
          <w:lang w:eastAsia="nl-NL"/>
        </w:rPr>
        <w:t>studeer nogmaals</w:t>
      </w:r>
      <w:r w:rsidRPr="00F062AE">
        <w:rPr>
          <w:rFonts w:ascii="Helvetica" w:eastAsia="Times New Roman" w:hAnsi="Helvetica" w:cstheme="minorHAnsi"/>
          <w:bCs/>
          <w:color w:val="000000" w:themeColor="text1"/>
          <w:sz w:val="22"/>
          <w:szCs w:val="22"/>
          <w:lang w:eastAsia="nl-NL"/>
        </w:rPr>
        <w:t xml:space="preserve"> de richtlijnen en overzichten</w:t>
      </w:r>
      <w:r w:rsidR="005D5D58" w:rsidRPr="00F062AE">
        <w:rPr>
          <w:rFonts w:ascii="Helvetica" w:eastAsia="Times New Roman" w:hAnsi="Helvetica" w:cstheme="minorHAnsi"/>
          <w:bCs/>
          <w:color w:val="000000" w:themeColor="text1"/>
          <w:sz w:val="22"/>
          <w:szCs w:val="22"/>
          <w:lang w:eastAsia="nl-NL"/>
        </w:rPr>
        <w:fldChar w:fldCharType="begin" w:fldLock="1"/>
      </w:r>
      <w:r w:rsidR="00096C11">
        <w:rPr>
          <w:rFonts w:ascii="Helvetica" w:eastAsia="Times New Roman" w:hAnsi="Helvetica" w:cstheme="minorHAnsi"/>
          <w:bCs/>
          <w:color w:val="000000" w:themeColor="text1"/>
          <w:sz w:val="22"/>
          <w:szCs w:val="22"/>
          <w:lang w:eastAsia="nl-NL"/>
        </w:rPr>
        <w:instrText xml:space="preserve">ADDIN CSL_CITATION {"citationItems":[{"id":"ITEM-1","itemData":{"abstract":"KNGF-richtlijn revalidatie na voorste kruisband reconstructie","author":[{"dropping-particle":"","family":"Melick","given":"N","non-dropping-particle":"van","parse-names":false,"suffix":""},{"dropping-particle":"","family":"Hullegie","given":"W","non-dropping-particle":"","parse-names":false,"suffix":""},{"dropping-particle":"","family":"Brooijmans","given":"F","non-dropping-particle":"","parse-names":false,"suffix":""},{"dropping-particle":"","family":"Hendriks","given":"E","non-dropping-particle":"","parse-names":false,"suffix":""},{"dropping-particle":"","family":"Neeter","given":"C","non-dropping-particle":"","parse-names":false,"suffix":""},{"dropping-particle":"","family":"Tienen","given":"T","non-dropping-particle":"van","parse-names":false,"suffix":""},{"dropping-particle":"","family":"Cingel","given":"R.","non-dropping-particle":"van","parse-names":false,"suffix":""}],"id":"ITEM-1","issued":{"date-parts":[["2014"]]},"page":"1-18","title":"KNGF Evidence Statement Revalidatie na voorste-kruisbandreconstructie","type":"article-journal"},"uris":["http://www.mendeley.com/documents/?uuid=6a611511-3d19-48c8-bc88-69ba954944bb"]},{"id":"ITEM-2","itemData":{"author":[{"dropping-particle":"","family":"Brooijmans","given":"F.A.M.","non-dropping-particle":"","parse-names":false,"suffix":""},{"dropping-particle":"","family":"Lenssen","given":"A.F.T.","non-dropping-particle":"","parse-names":false,"suffix":""},{"dropping-particle":"","family":"Melick","given":"N","non-dropping-particle":"van","parse-names":false,"suffix":""},{"dropping-particle":"","family":"Knoop","given":"J","non-dropping-particle":"","parse-names":false,"suffix":""},{"dropping-particle":"","family":"Rondhuis","given":"G","non-dropping-particle":"","parse-names":false,"suffix":""},{"dropping-particle":"","family":"Neeleman-van der Steen","given":"C.W.M.","non-dropping-particle":"","parse-names":false,"suffix":""},{"dropping-particle":"","family":"Tak","given":"I.J.R.","non-dropping-particle":"","parse-names":false,"suffix":""},{"dropping-particle":"","family":"Hullegie","given":"W.","non-dropping-particle":"","parse-names":false,"suffix":""},{"dropping-particle":"","family":"Hendriks","given":"E","non-dropping-particle":"","parse-names":false,"suffix":""},{"dropping-particle":"","family":"Janssen","given":"R.P.A.","non-dropping-particle":"","parse-names":false,"suffix":""}],"id":"ITEM-2","issued":{"date-parts":[["2015"]]},"page":"1-26","title":"KNGF Evidence Statement Acuut Knieletsel","type":"article-journal"},"uris":["http://www.mendeley.com/documents/?uuid=538ae20e-0f1b-48b8-b8ca-a4807085329a"]},{"id":"ITEM-3","itemData":{"abstract":"De richtlijn is samengevat op een kaart. Alle onderdelen van de richtlijn zijn beschikbaar via www.kngfrichtlijnen.nl.","author":[{"dropping-particle":"","family":"Neeleman-van der Steen","given":"C.W.M.","non-dropping-particle":"","parse-names":false,"suffix":""},{"dropping-particle":"","family":"Rondhuis","given":"G.","non-dropping-particle":"","parse-names":false,"suffix":""},{"dropping-particle":"","family":"Moorsel","given":"S.R.","non-dropping-particle":"van","parse-names":false,"suffix":""},{"dropping-particle":"","family":"Brooijmans","given":"F.","non-dropping-particle":"","parse-names":false,"suffix":""},{"dropping-particle":"","family":"Lenssen","given":"A.F.","non-dropping-particle":"","parse-names":false,"suffix":""},{"dropping-particle":"","family":"Hullegie","given":"W.","non-dropping-particle":"","parse-names":false,"suffix":""},{"dropping-particle":"","family":"Hendriks","given":"H.J.M.","non-dropping-particle":"","parse-names":false,"suffix":""}],"id":"ITEM-3","issue":"6","issued":{"date-parts":[["2006"]]},"page":"1-28","title":"KNGF-richtlijn Meniscectomie Verantwoording en toelichting","type":"article-journal","volume":"16"},"uris":["http://www.mendeley.com/documents/?uuid=f1426a11-c469-47a5-bfa5-7f75d9ba78af"]},{"id":"ITEM-4","itemData":{"author":[{"dropping-particle":"","family":"Brooijmans","given":"F","non-dropping-particle":"","parse-names":false,"suffix":""}],"container-title":"Physios","id":"ITEM-4","issued":{"date-parts":[["2021"]]},"title":"Fysiotherapeutische diagnostiek bij acuut knieletsel","type":"article-journal"},"uris":["http://www.mendeley.com/documents/?uuid=ac84dc6b-0ec3-4f71-bce7-b3bc76a535b8"]},{"id":"ITEM-5","itemData":{"DOI":"10.1097/00005131-200303000-00008","ISSN":"08905339","PMID":"12621261","abstract":"Objective: To evaluate soft-tissue injury patterns in a large series of patients with knee dislocations to identify frequency and associations that may aid in surgical planning. Design: Prospective clinical study. Setting: Two institutions, both level I trauma centers. Patients: Sixty patients with 63 dislocatable knees. Results: Cause of injury was motor vehicle injury in 34 patients, sports in 23 patients, and falls in 3 patients; 71% of knees studied had bicruciate injuries. Eight knees had associated major intraarticular fractures. Vascular disruption occurred in 14% of knees. Peroneal nerve palsies occurred in 14% of knees. All injured knees with complete peroneal nerve palsies had anterior cruciate ligament, posterior cruciate ligament, and lateral collateral ligament disruptions. The incidence of vascular injury was the same for patients injured in sports as for those injured in road trauma. Reattachable ligamentous avulsions occurred in 19% for anterior cruciate ligament, 51% for posterior cruciate ligament, 64% for medial collateral ligament, and 84% for lateral collateral ligament injuries. Certain injury patterns also had a high association of tendon and capsule avulsions. Proximal lateral collateral ligament injuries were commonly associated with popliteus tendon avulsions and seldom with distal biceps avulsions. Distal lateral collateral ligament injuries were commonly associated with distal biceps avulsions and seldom with popliteus tendon avulsions. Reattachable meniscal capsular avulsions off the tibia occurred predominantly when the collateral ligament injury was a distal avulsion. Conclusions: This </w:instrText>
      </w:r>
      <w:r w:rsidR="00096C11" w:rsidRPr="00645A8E">
        <w:rPr>
          <w:rFonts w:ascii="Helvetica" w:eastAsia="Times New Roman" w:hAnsi="Helvetica" w:cstheme="minorHAnsi"/>
          <w:bCs/>
          <w:color w:val="000000" w:themeColor="text1"/>
          <w:sz w:val="22"/>
          <w:szCs w:val="22"/>
          <w:lang w:val="en-US" w:eastAsia="nl-NL"/>
        </w:rPr>
        <w:instrText>study showed a wide variety of injury patterns. Knees had to have at least two ligaments injured to be dislocatable but not necessarily both cruciate ligaments. Sports injuries have the same pattern of injury as motor vehicle accidents, suggesting similar forces of injury. The study demonstrates a high incidence of reattachable avulsion injuries to ligaments and soft tissues in dislocatable knees. These may not be as easily dealt with if surgery is delayed beyond 3-4 weeks.","author":[{"dropping-particle":"","family":"Twaddle","given":"Bruce C.","non-dropping-particle":"","parse-names":false,"suffix":""},{"dropping-particle":"","family":"Bidwell","given":"Terri A.","non-dropping-particle":"","parse-names":false,"suffix":""},{"dropping-particle":"","family":"Chapman","given":"Jens R.","non-dropping-particle":"","parse-names":false,"suffix":""}],"container-title":"Journal of Orthopaedic Trauma","id":"ITEM-5","issue":"3","issued":{"date-parts":[["2003"]]},"page":"198-202","title":"Knee dislocations: Where are the lesions? A prospective evaluation of surgical findings in 63 cases","type":"article-journal","volume":"17"},"uris":["http://www.mendeley.com/documents/?uuid=2d7ac752-0b47-4458-89ab-c3ec5d8b24d1"]}],"mendeley":{"formattedCitation":"&lt;sup&gt;14,17,19–21&lt;/sup&gt;","plainTextFormattedCitation":"14,17,19–21","previouslyFormattedCitation":"&lt;sup&gt;14,17,19–21&lt;/sup&gt;"},"properties":{"noteIndex":0},"schema":"https://github.com/citation-style-language/schema/raw/master/csl-citation.json"}</w:instrText>
      </w:r>
      <w:r w:rsidR="005D5D58" w:rsidRPr="00F062AE">
        <w:rPr>
          <w:rFonts w:ascii="Helvetica" w:eastAsia="Times New Roman" w:hAnsi="Helvetica" w:cstheme="minorHAnsi"/>
          <w:bCs/>
          <w:color w:val="000000" w:themeColor="text1"/>
          <w:sz w:val="22"/>
          <w:szCs w:val="22"/>
          <w:lang w:eastAsia="nl-NL"/>
        </w:rPr>
        <w:fldChar w:fldCharType="separate"/>
      </w:r>
      <w:r w:rsidR="00096C11" w:rsidRPr="00645A8E">
        <w:rPr>
          <w:rFonts w:ascii="Helvetica" w:eastAsia="Times New Roman" w:hAnsi="Helvetica" w:cstheme="minorHAnsi"/>
          <w:bCs/>
          <w:noProof/>
          <w:color w:val="000000" w:themeColor="text1"/>
          <w:sz w:val="22"/>
          <w:szCs w:val="22"/>
          <w:vertAlign w:val="superscript"/>
          <w:lang w:val="en-US" w:eastAsia="nl-NL"/>
        </w:rPr>
        <w:t>14,17,19–21</w:t>
      </w:r>
      <w:r w:rsidR="005D5D58" w:rsidRPr="00F062AE">
        <w:rPr>
          <w:rFonts w:ascii="Helvetica" w:eastAsia="Times New Roman" w:hAnsi="Helvetica" w:cstheme="minorHAnsi"/>
          <w:bCs/>
          <w:color w:val="000000" w:themeColor="text1"/>
          <w:sz w:val="22"/>
          <w:szCs w:val="22"/>
          <w:lang w:eastAsia="nl-NL"/>
        </w:rPr>
        <w:fldChar w:fldCharType="end"/>
      </w:r>
      <w:r w:rsidRPr="00645A8E">
        <w:rPr>
          <w:rFonts w:ascii="Helvetica" w:eastAsia="Times New Roman" w:hAnsi="Helvetica" w:cstheme="minorHAnsi"/>
          <w:bCs/>
          <w:color w:val="000000" w:themeColor="text1"/>
          <w:sz w:val="22"/>
          <w:szCs w:val="22"/>
          <w:lang w:val="en-US" w:eastAsia="nl-NL"/>
        </w:rPr>
        <w:t>.</w:t>
      </w:r>
    </w:p>
    <w:p w14:paraId="3A30997C" w14:textId="77777777" w:rsidR="00F062AE" w:rsidRPr="00645A8E" w:rsidRDefault="00F062AE" w:rsidP="00F062AE">
      <w:pPr>
        <w:spacing w:after="0" w:line="240" w:lineRule="auto"/>
        <w:rPr>
          <w:rFonts w:ascii="Helvetica" w:eastAsia="Times New Roman" w:hAnsi="Helvetica" w:cstheme="minorHAnsi"/>
          <w:bCs/>
          <w:color w:val="000000" w:themeColor="text1"/>
          <w:sz w:val="22"/>
          <w:szCs w:val="22"/>
          <w:lang w:val="en-US" w:eastAsia="nl-NL"/>
        </w:rPr>
      </w:pPr>
    </w:p>
    <w:p w14:paraId="6FBDD790" w14:textId="56B62908" w:rsidR="00096C11" w:rsidRPr="00645A8E" w:rsidRDefault="006A765D" w:rsidP="00096C11">
      <w:pPr>
        <w:widowControl w:val="0"/>
        <w:autoSpaceDE w:val="0"/>
        <w:autoSpaceDN w:val="0"/>
        <w:adjustRightInd w:val="0"/>
        <w:spacing w:after="0" w:line="240" w:lineRule="auto"/>
        <w:ind w:left="640" w:hanging="640"/>
        <w:rPr>
          <w:rFonts w:ascii="Helvetica" w:hAnsi="Helvetica" w:cs="Helvetica"/>
          <w:noProof/>
          <w:lang w:val="en-US"/>
        </w:rPr>
      </w:pPr>
      <w:r w:rsidRPr="00F062AE">
        <w:rPr>
          <w:rFonts w:ascii="Helvetica" w:eastAsia="Times New Roman" w:hAnsi="Helvetica" w:cstheme="minorHAnsi"/>
          <w:b/>
          <w:lang w:eastAsia="nl-NL"/>
        </w:rPr>
        <w:fldChar w:fldCharType="begin" w:fldLock="1"/>
      </w:r>
      <w:r w:rsidRPr="00F062AE">
        <w:rPr>
          <w:rFonts w:ascii="Helvetica" w:eastAsia="Times New Roman" w:hAnsi="Helvetica" w:cstheme="minorHAnsi"/>
          <w:b/>
          <w:lang w:val="en-US" w:eastAsia="nl-NL"/>
        </w:rPr>
        <w:instrText xml:space="preserve">ADDIN Mendeley Bibliography CSL_BIBLIOGRAPHY </w:instrText>
      </w:r>
      <w:r w:rsidRPr="00F062AE">
        <w:rPr>
          <w:rFonts w:ascii="Helvetica" w:eastAsia="Times New Roman" w:hAnsi="Helvetica" w:cstheme="minorHAnsi"/>
          <w:b/>
          <w:lang w:eastAsia="nl-NL"/>
        </w:rPr>
        <w:fldChar w:fldCharType="separate"/>
      </w:r>
      <w:r w:rsidR="00096C11" w:rsidRPr="00645A8E">
        <w:rPr>
          <w:rFonts w:ascii="Helvetica" w:hAnsi="Helvetica" w:cs="Helvetica"/>
          <w:noProof/>
          <w:lang w:val="en-US"/>
        </w:rPr>
        <w:t xml:space="preserve">1. </w:t>
      </w:r>
      <w:r w:rsidR="00096C11" w:rsidRPr="00645A8E">
        <w:rPr>
          <w:rFonts w:ascii="Helvetica" w:hAnsi="Helvetica" w:cs="Helvetica"/>
          <w:noProof/>
          <w:lang w:val="en-US"/>
        </w:rPr>
        <w:tab/>
        <w:t xml:space="preserve">Jacobson KE, Chi FS. Evaluation and Treatment of Medial Collateral Ligament. Sport Med Arthrosc Rev. 2006;14(2):58–66. </w:t>
      </w:r>
    </w:p>
    <w:p w14:paraId="6103ABFE" w14:textId="77777777" w:rsidR="00096C11" w:rsidRPr="00645A8E" w:rsidRDefault="00096C11" w:rsidP="00096C11">
      <w:pPr>
        <w:widowControl w:val="0"/>
        <w:autoSpaceDE w:val="0"/>
        <w:autoSpaceDN w:val="0"/>
        <w:adjustRightInd w:val="0"/>
        <w:spacing w:after="0" w:line="240" w:lineRule="auto"/>
        <w:ind w:left="640" w:hanging="640"/>
        <w:rPr>
          <w:rFonts w:ascii="Helvetica" w:hAnsi="Helvetica" w:cs="Helvetica"/>
          <w:noProof/>
          <w:lang w:val="en-US"/>
        </w:rPr>
      </w:pPr>
      <w:r w:rsidRPr="00645A8E">
        <w:rPr>
          <w:rFonts w:ascii="Helvetica" w:hAnsi="Helvetica" w:cs="Helvetica"/>
          <w:noProof/>
          <w:lang w:val="en-US"/>
        </w:rPr>
        <w:t xml:space="preserve">2. </w:t>
      </w:r>
      <w:r w:rsidRPr="00645A8E">
        <w:rPr>
          <w:rFonts w:ascii="Helvetica" w:hAnsi="Helvetica" w:cs="Helvetica"/>
          <w:noProof/>
          <w:lang w:val="en-US"/>
        </w:rPr>
        <w:tab/>
        <w:t xml:space="preserve">Kurzweil PR, Kelley S. Physical examination and imaging of medial collateral ligament and posteromedial corner of the knee. Sports Med Arthrosc. 2006;14(2):67–73. </w:t>
      </w:r>
    </w:p>
    <w:p w14:paraId="64EA12B4" w14:textId="77777777" w:rsidR="00096C11" w:rsidRPr="00645A8E" w:rsidRDefault="00096C11" w:rsidP="00096C11">
      <w:pPr>
        <w:widowControl w:val="0"/>
        <w:autoSpaceDE w:val="0"/>
        <w:autoSpaceDN w:val="0"/>
        <w:adjustRightInd w:val="0"/>
        <w:spacing w:after="0" w:line="240" w:lineRule="auto"/>
        <w:ind w:left="640" w:hanging="640"/>
        <w:rPr>
          <w:rFonts w:ascii="Helvetica" w:hAnsi="Helvetica" w:cs="Helvetica"/>
          <w:noProof/>
          <w:lang w:val="en-US"/>
        </w:rPr>
      </w:pPr>
      <w:r w:rsidRPr="00645A8E">
        <w:rPr>
          <w:rFonts w:ascii="Helvetica" w:hAnsi="Helvetica" w:cs="Helvetica"/>
          <w:noProof/>
          <w:lang w:val="en-US"/>
        </w:rPr>
        <w:t xml:space="preserve">3. </w:t>
      </w:r>
      <w:r w:rsidRPr="00645A8E">
        <w:rPr>
          <w:rFonts w:ascii="Helvetica" w:hAnsi="Helvetica" w:cs="Helvetica"/>
          <w:noProof/>
          <w:lang w:val="en-US"/>
        </w:rPr>
        <w:tab/>
        <w:t xml:space="preserve">Lundblad M, Hägglund M, Thomeé C, Hamrin Senorski E, Ekstrand J, Karlsson J, et al. Medial collateral ligament injuries of the knee in male professional football players: a prospective three-season study of 130 cases from the UEFA Elite Club Injury Study. Knee Surgery, Sport Traumatol Arthrosc. 2019;27(11):3692–8. </w:t>
      </w:r>
    </w:p>
    <w:p w14:paraId="02DC5EA8" w14:textId="77777777" w:rsidR="00096C11" w:rsidRPr="00645A8E" w:rsidRDefault="00096C11" w:rsidP="00096C11">
      <w:pPr>
        <w:widowControl w:val="0"/>
        <w:autoSpaceDE w:val="0"/>
        <w:autoSpaceDN w:val="0"/>
        <w:adjustRightInd w:val="0"/>
        <w:spacing w:after="0" w:line="240" w:lineRule="auto"/>
        <w:ind w:left="640" w:hanging="640"/>
        <w:rPr>
          <w:rFonts w:ascii="Helvetica" w:hAnsi="Helvetica" w:cs="Helvetica"/>
          <w:noProof/>
          <w:lang w:val="en-US"/>
        </w:rPr>
      </w:pPr>
      <w:r w:rsidRPr="00645A8E">
        <w:rPr>
          <w:rFonts w:ascii="Helvetica" w:hAnsi="Helvetica" w:cs="Helvetica"/>
          <w:noProof/>
          <w:lang w:val="en-US"/>
        </w:rPr>
        <w:t xml:space="preserve">4. </w:t>
      </w:r>
      <w:r w:rsidRPr="00645A8E">
        <w:rPr>
          <w:rFonts w:ascii="Helvetica" w:hAnsi="Helvetica" w:cs="Helvetica"/>
          <w:noProof/>
          <w:lang w:val="en-US"/>
        </w:rPr>
        <w:tab/>
        <w:t xml:space="preserve">Phisitkul P, James SL, Wolf BR, Amendola A. MCL injuries of the knee: current concepts review. Iowa Orthop J. 2006;26:77–90. </w:t>
      </w:r>
    </w:p>
    <w:p w14:paraId="5B280FA6" w14:textId="77777777" w:rsidR="00096C11" w:rsidRPr="00645A8E" w:rsidRDefault="00096C11" w:rsidP="00096C11">
      <w:pPr>
        <w:widowControl w:val="0"/>
        <w:autoSpaceDE w:val="0"/>
        <w:autoSpaceDN w:val="0"/>
        <w:adjustRightInd w:val="0"/>
        <w:spacing w:after="0" w:line="240" w:lineRule="auto"/>
        <w:ind w:left="640" w:hanging="640"/>
        <w:rPr>
          <w:rFonts w:ascii="Helvetica" w:hAnsi="Helvetica" w:cs="Helvetica"/>
          <w:noProof/>
          <w:lang w:val="en-US"/>
        </w:rPr>
      </w:pPr>
      <w:r w:rsidRPr="00645A8E">
        <w:rPr>
          <w:rFonts w:ascii="Helvetica" w:hAnsi="Helvetica" w:cs="Helvetica"/>
          <w:noProof/>
          <w:lang w:val="en-US"/>
        </w:rPr>
        <w:t xml:space="preserve">5. </w:t>
      </w:r>
      <w:r w:rsidRPr="00645A8E">
        <w:rPr>
          <w:rFonts w:ascii="Helvetica" w:hAnsi="Helvetica" w:cs="Helvetica"/>
          <w:noProof/>
          <w:lang w:val="en-US"/>
        </w:rPr>
        <w:tab/>
        <w:t xml:space="preserve">LaPrade RF, Wijdicks CA. The management of injuries to the medial side of the Knee. J Orthop Sports Phys Ther. 2012;42(3):221–33. </w:t>
      </w:r>
    </w:p>
    <w:p w14:paraId="2AED2B20" w14:textId="77777777" w:rsidR="00096C11" w:rsidRPr="00645A8E" w:rsidRDefault="00096C11" w:rsidP="00096C11">
      <w:pPr>
        <w:widowControl w:val="0"/>
        <w:autoSpaceDE w:val="0"/>
        <w:autoSpaceDN w:val="0"/>
        <w:adjustRightInd w:val="0"/>
        <w:spacing w:after="0" w:line="240" w:lineRule="auto"/>
        <w:ind w:left="640" w:hanging="640"/>
        <w:rPr>
          <w:rFonts w:ascii="Helvetica" w:hAnsi="Helvetica" w:cs="Helvetica"/>
          <w:noProof/>
          <w:lang w:val="en-US"/>
        </w:rPr>
      </w:pPr>
      <w:r w:rsidRPr="00645A8E">
        <w:rPr>
          <w:rFonts w:ascii="Helvetica" w:hAnsi="Helvetica" w:cs="Helvetica"/>
          <w:noProof/>
          <w:lang w:val="en-US"/>
        </w:rPr>
        <w:t xml:space="preserve">6. </w:t>
      </w:r>
      <w:r w:rsidRPr="00645A8E">
        <w:rPr>
          <w:rFonts w:ascii="Helvetica" w:hAnsi="Helvetica" w:cs="Helvetica"/>
          <w:noProof/>
          <w:lang w:val="en-US"/>
        </w:rPr>
        <w:tab/>
        <w:t xml:space="preserve">Davies H, Unwin A, Aichroth P. The posterolateral corner of the knee: Anatomy, biomechanics and management of injuries. Inj Int J Care Inj. 2004;35(1):68–75. </w:t>
      </w:r>
    </w:p>
    <w:p w14:paraId="679C309B" w14:textId="77777777" w:rsidR="00096C11" w:rsidRPr="00645A8E" w:rsidRDefault="00096C11" w:rsidP="00096C11">
      <w:pPr>
        <w:widowControl w:val="0"/>
        <w:autoSpaceDE w:val="0"/>
        <w:autoSpaceDN w:val="0"/>
        <w:adjustRightInd w:val="0"/>
        <w:spacing w:after="0" w:line="240" w:lineRule="auto"/>
        <w:ind w:left="640" w:hanging="640"/>
        <w:rPr>
          <w:rFonts w:ascii="Helvetica" w:hAnsi="Helvetica" w:cs="Helvetica"/>
          <w:noProof/>
          <w:lang w:val="en-US"/>
        </w:rPr>
      </w:pPr>
      <w:r w:rsidRPr="00645A8E">
        <w:rPr>
          <w:rFonts w:ascii="Helvetica" w:hAnsi="Helvetica" w:cs="Helvetica"/>
          <w:noProof/>
          <w:lang w:val="en-US"/>
        </w:rPr>
        <w:t xml:space="preserve">7. </w:t>
      </w:r>
      <w:r w:rsidRPr="00645A8E">
        <w:rPr>
          <w:rFonts w:ascii="Helvetica" w:hAnsi="Helvetica" w:cs="Helvetica"/>
          <w:noProof/>
          <w:lang w:val="en-US"/>
        </w:rPr>
        <w:tab/>
        <w:t xml:space="preserve">Laprade RF, Wentorf F. Diagnosis and Treatment of posterolateral injuries.pdf. Clin Orthop Relat Res. 2002;(402):110–21. </w:t>
      </w:r>
    </w:p>
    <w:p w14:paraId="6E019D2C" w14:textId="77777777" w:rsidR="00096C11" w:rsidRPr="00645A8E" w:rsidRDefault="00096C11" w:rsidP="00096C11">
      <w:pPr>
        <w:widowControl w:val="0"/>
        <w:autoSpaceDE w:val="0"/>
        <w:autoSpaceDN w:val="0"/>
        <w:adjustRightInd w:val="0"/>
        <w:spacing w:after="0" w:line="240" w:lineRule="auto"/>
        <w:ind w:left="640" w:hanging="640"/>
        <w:rPr>
          <w:rFonts w:ascii="Helvetica" w:hAnsi="Helvetica" w:cs="Helvetica"/>
          <w:noProof/>
          <w:lang w:val="en-US"/>
        </w:rPr>
      </w:pPr>
      <w:r w:rsidRPr="00645A8E">
        <w:rPr>
          <w:rFonts w:ascii="Helvetica" w:hAnsi="Helvetica" w:cs="Helvetica"/>
          <w:noProof/>
          <w:lang w:val="en-US"/>
        </w:rPr>
        <w:t xml:space="preserve">8. </w:t>
      </w:r>
      <w:r w:rsidRPr="00645A8E">
        <w:rPr>
          <w:rFonts w:ascii="Helvetica" w:hAnsi="Helvetica" w:cs="Helvetica"/>
          <w:noProof/>
          <w:lang w:val="en-US"/>
        </w:rPr>
        <w:tab/>
        <w:t xml:space="preserve">LaPrade RF, Johansen S, Agel J, Eisberg M, Moksnes H, Engebretsen L. Outcomes of an anatomic posterolateral knee reconstruction. J Bone Jt Surg. 2010;92:16–22. </w:t>
      </w:r>
    </w:p>
    <w:p w14:paraId="4EF78C48"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645A8E">
        <w:rPr>
          <w:rFonts w:ascii="Helvetica" w:hAnsi="Helvetica" w:cs="Helvetica"/>
          <w:noProof/>
          <w:lang w:val="en-US"/>
        </w:rPr>
        <w:t xml:space="preserve">9. </w:t>
      </w:r>
      <w:r w:rsidRPr="00645A8E">
        <w:rPr>
          <w:rFonts w:ascii="Helvetica" w:hAnsi="Helvetica" w:cs="Helvetica"/>
          <w:noProof/>
          <w:lang w:val="en-US"/>
        </w:rPr>
        <w:tab/>
        <w:t xml:space="preserve">Cooper J, McAndrews P, LaPrade R. Posterolateral corner injuries of the knee: anatomy, diagnosis, and treatment. </w:t>
      </w:r>
      <w:r w:rsidRPr="00096C11">
        <w:rPr>
          <w:rFonts w:ascii="Helvetica" w:hAnsi="Helvetica" w:cs="Helvetica"/>
          <w:noProof/>
        </w:rPr>
        <w:t xml:space="preserve">Sport Med Artrosc Rev. 2006;14(4):213–20. </w:t>
      </w:r>
    </w:p>
    <w:p w14:paraId="09CD8432"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10. </w:t>
      </w:r>
      <w:r w:rsidRPr="00096C11">
        <w:rPr>
          <w:rFonts w:ascii="Helvetica" w:hAnsi="Helvetica" w:cs="Helvetica"/>
          <w:noProof/>
        </w:rPr>
        <w:tab/>
        <w:t xml:space="preserve">Sonnery-Cottet B, Serra Cruz R, Vieira TD, Goes RA, Saithna A. Ramp Lesions: An Unrecognized Posteromedial Instability? Clin Sports Med. 2020;39(1):69–81. </w:t>
      </w:r>
    </w:p>
    <w:p w14:paraId="2C552411"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11. </w:t>
      </w:r>
      <w:r w:rsidRPr="00096C11">
        <w:rPr>
          <w:rFonts w:ascii="Helvetica" w:hAnsi="Helvetica" w:cs="Helvetica"/>
          <w:noProof/>
        </w:rPr>
        <w:tab/>
        <w:t xml:space="preserve">Sonnery-Cottet B, Daggett M, Fayard JM, Ferretti A, Helito CP, Lind M, et al. Anterolateral Ligament Expert Group consensus paper on the management of internal rotation and instability of the anterior cruciate ligament - deficient knee. J Orthop Traumatol. 2017;18(2):91–106. </w:t>
      </w:r>
    </w:p>
    <w:p w14:paraId="595578F7"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12. </w:t>
      </w:r>
      <w:r w:rsidRPr="00096C11">
        <w:rPr>
          <w:rFonts w:ascii="Helvetica" w:hAnsi="Helvetica" w:cs="Helvetica"/>
          <w:noProof/>
        </w:rPr>
        <w:tab/>
        <w:t xml:space="preserve">Slater L V., Hart JM, Kelly AR, Kuenze CM. Progressive changes in walking kinematics and kinetics after anterior cruciate ligament injury and reconstruction: A review and meta-Analysis. J Athl Train. 2017;52(9):847–60. </w:t>
      </w:r>
    </w:p>
    <w:p w14:paraId="3F0E7EF0"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13. </w:t>
      </w:r>
      <w:r w:rsidRPr="00096C11">
        <w:rPr>
          <w:rFonts w:ascii="Helvetica" w:hAnsi="Helvetica" w:cs="Helvetica"/>
          <w:noProof/>
        </w:rPr>
        <w:tab/>
        <w:t xml:space="preserve">Arhos E, Capin J, Buchanan T, Snyder-Mackler L. Quadriceps Strength Symmetry Does Not Modify Gait Mechanics after ACL Reconstruction, Rehabilitation, and Return-to-Sport Training. Am J Sport Med. 2021;49(2):417–25. </w:t>
      </w:r>
    </w:p>
    <w:p w14:paraId="2A28838C"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14. </w:t>
      </w:r>
      <w:r w:rsidRPr="00096C11">
        <w:rPr>
          <w:rFonts w:ascii="Helvetica" w:hAnsi="Helvetica" w:cs="Helvetica"/>
          <w:noProof/>
        </w:rPr>
        <w:tab/>
        <w:t xml:space="preserve">Brooijmans FAM, Lenssen AFT, van Melick N, Knoop J, Rondhuis G, Neeleman-van der Steen CWM, et al. KNGF Evidence Statement Acuut Knieletsel. 2015;1–26. </w:t>
      </w:r>
    </w:p>
    <w:p w14:paraId="6F4B5AD6"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15. </w:t>
      </w:r>
      <w:r w:rsidRPr="00096C11">
        <w:rPr>
          <w:rFonts w:ascii="Helvetica" w:hAnsi="Helvetica" w:cs="Helvetica"/>
          <w:noProof/>
        </w:rPr>
        <w:tab/>
        <w:t xml:space="preserve">van Goolberg T, Hein E. Het Kracht Revalidatie Systeem (KRS). C online/de Rehaboom. :5–8. </w:t>
      </w:r>
    </w:p>
    <w:p w14:paraId="38E8C0CC"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16. </w:t>
      </w:r>
      <w:r w:rsidRPr="00096C11">
        <w:rPr>
          <w:rFonts w:ascii="Helvetica" w:hAnsi="Helvetica" w:cs="Helvetica"/>
          <w:noProof/>
        </w:rPr>
        <w:tab/>
        <w:t xml:space="preserve">van Grinsven S, van Cingel REH, Holla CJM, van Loon CJM. Evidence-based rehabilitation following anterior cruciate ligament reconstruction. Knee Surgery, Sport Traumatol Arthrosc. 2010;18(8):1128–44. </w:t>
      </w:r>
    </w:p>
    <w:p w14:paraId="54393217"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17. </w:t>
      </w:r>
      <w:r w:rsidRPr="00096C11">
        <w:rPr>
          <w:rFonts w:ascii="Helvetica" w:hAnsi="Helvetica" w:cs="Helvetica"/>
          <w:noProof/>
        </w:rPr>
        <w:tab/>
        <w:t xml:space="preserve">van Melick N, Hullegie W, Brooijmans F, Hendriks E, Neeter C, van Tienen T, et al. KNGF Evidence Statement Revalidatie na voorste-kruisbandreconstructie. 2014;1–18. </w:t>
      </w:r>
    </w:p>
    <w:p w14:paraId="31439058"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18. </w:t>
      </w:r>
      <w:r w:rsidRPr="00096C11">
        <w:rPr>
          <w:rFonts w:ascii="Helvetica" w:hAnsi="Helvetica" w:cs="Helvetica"/>
          <w:noProof/>
        </w:rPr>
        <w:tab/>
        <w:t xml:space="preserve">Neeleman-Van Der Steen CWM, Rondhuis G, Van Moorsel SR, Brooijmans F, Lenssen AF, Hullegie W, et al. KNGF-richtlijn Meniscectomie Praktijkrichtlijn. 2006;(119):1–19. </w:t>
      </w:r>
    </w:p>
    <w:p w14:paraId="080560B4"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19. </w:t>
      </w:r>
      <w:r w:rsidRPr="00096C11">
        <w:rPr>
          <w:rFonts w:ascii="Helvetica" w:hAnsi="Helvetica" w:cs="Helvetica"/>
          <w:noProof/>
        </w:rPr>
        <w:tab/>
        <w:t xml:space="preserve">Neeleman-van der Steen CWM, Rondhuis G, van Moorsel SR, Brooijmans F, Lenssen AF, Hullegie W, et al. KNGF-richtlijn Meniscectomie Verantwoording en toelichting. 2006;16(6):1–28. </w:t>
      </w:r>
    </w:p>
    <w:p w14:paraId="515B9FF9"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20. </w:t>
      </w:r>
      <w:r w:rsidRPr="00096C11">
        <w:rPr>
          <w:rFonts w:ascii="Helvetica" w:hAnsi="Helvetica" w:cs="Helvetica"/>
          <w:noProof/>
        </w:rPr>
        <w:tab/>
        <w:t xml:space="preserve">Brooijmans F. Fysiotherapeutische diagnostiek bij acuut knieletsel. Physios. 2021; </w:t>
      </w:r>
    </w:p>
    <w:p w14:paraId="4314F158" w14:textId="77777777" w:rsidR="00096C11" w:rsidRPr="00096C11" w:rsidRDefault="00096C11" w:rsidP="00096C11">
      <w:pPr>
        <w:widowControl w:val="0"/>
        <w:autoSpaceDE w:val="0"/>
        <w:autoSpaceDN w:val="0"/>
        <w:adjustRightInd w:val="0"/>
        <w:spacing w:after="0" w:line="240" w:lineRule="auto"/>
        <w:ind w:left="640" w:hanging="640"/>
        <w:rPr>
          <w:rFonts w:ascii="Helvetica" w:hAnsi="Helvetica" w:cs="Helvetica"/>
          <w:noProof/>
        </w:rPr>
      </w:pPr>
      <w:r w:rsidRPr="00096C11">
        <w:rPr>
          <w:rFonts w:ascii="Helvetica" w:hAnsi="Helvetica" w:cs="Helvetica"/>
          <w:noProof/>
        </w:rPr>
        <w:t xml:space="preserve">21. </w:t>
      </w:r>
      <w:r w:rsidRPr="00096C11">
        <w:rPr>
          <w:rFonts w:ascii="Helvetica" w:hAnsi="Helvetica" w:cs="Helvetica"/>
          <w:noProof/>
        </w:rPr>
        <w:tab/>
        <w:t xml:space="preserve">Twaddle BC, Bidwell TA, Chapman JR. Knee dislocations: Where are the lesions? A prospective evaluation of surgical findings in 63 cases. J Orthop Trauma. 2003;17(3):198–202. </w:t>
      </w:r>
    </w:p>
    <w:p w14:paraId="2272B85A" w14:textId="5384107E" w:rsidR="00F062AE" w:rsidRDefault="006A765D" w:rsidP="00645A8E">
      <w:pPr>
        <w:widowControl w:val="0"/>
        <w:autoSpaceDE w:val="0"/>
        <w:autoSpaceDN w:val="0"/>
        <w:adjustRightInd w:val="0"/>
        <w:spacing w:after="0" w:line="240" w:lineRule="auto"/>
        <w:ind w:left="640" w:hanging="640"/>
        <w:rPr>
          <w:rFonts w:ascii="Helvetica" w:eastAsia="Times New Roman" w:hAnsi="Helvetica" w:cstheme="minorHAnsi"/>
          <w:b/>
          <w:sz w:val="36"/>
          <w:szCs w:val="36"/>
          <w:lang w:eastAsia="nl-NL"/>
        </w:rPr>
      </w:pPr>
      <w:r w:rsidRPr="00F062AE">
        <w:rPr>
          <w:rFonts w:ascii="Helvetica" w:eastAsia="Times New Roman" w:hAnsi="Helvetica" w:cstheme="minorHAnsi"/>
          <w:b/>
          <w:lang w:eastAsia="nl-NL"/>
        </w:rPr>
        <w:fldChar w:fldCharType="end"/>
      </w:r>
      <w:bookmarkStart w:id="0" w:name="_GoBack"/>
      <w:bookmarkEnd w:id="0"/>
    </w:p>
    <w:p w14:paraId="1C281CBB" w14:textId="43B218EB" w:rsidR="00A12B9C" w:rsidRPr="0043568E" w:rsidRDefault="00C8104D" w:rsidP="00F062AE">
      <w:pPr>
        <w:widowControl w:val="0"/>
        <w:autoSpaceDE w:val="0"/>
        <w:autoSpaceDN w:val="0"/>
        <w:adjustRightInd w:val="0"/>
        <w:spacing w:after="0" w:line="240" w:lineRule="auto"/>
        <w:rPr>
          <w:rFonts w:ascii="Helvetica" w:eastAsia="Times New Roman" w:hAnsi="Helvetica" w:cstheme="minorHAnsi"/>
          <w:b/>
          <w:sz w:val="36"/>
          <w:szCs w:val="36"/>
          <w:lang w:eastAsia="nl-NL"/>
        </w:rPr>
      </w:pPr>
      <w:r w:rsidRPr="00AE2AF8">
        <w:rPr>
          <w:rFonts w:ascii="Helvetica" w:hAnsi="Helvetica"/>
          <w:noProof/>
        </w:rPr>
        <w:lastRenderedPageBreak/>
        <w:drawing>
          <wp:anchor distT="0" distB="0" distL="114300" distR="114300" simplePos="0" relativeHeight="251665408" behindDoc="0" locked="0" layoutInCell="1" allowOverlap="1" wp14:anchorId="378B026D" wp14:editId="5360289E">
            <wp:simplePos x="0" y="0"/>
            <wp:positionH relativeFrom="column">
              <wp:posOffset>5125916</wp:posOffset>
            </wp:positionH>
            <wp:positionV relativeFrom="paragraph">
              <wp:posOffset>-370938</wp:posOffset>
            </wp:positionV>
            <wp:extent cx="896816" cy="861646"/>
            <wp:effectExtent l="0" t="0" r="0" b="0"/>
            <wp:wrapNone/>
            <wp:docPr id="7" name="Afbeelding 7"/>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r:link="rId9" cstate="print">
                      <a:extLst>
                        <a:ext uri="{28A0092B-C50C-407E-A947-70E740481C1C}">
                          <a14:useLocalDpi xmlns:a14="http://schemas.microsoft.com/office/drawing/2010/main" val="0"/>
                        </a:ext>
                      </a:extLst>
                    </a:blip>
                    <a:srcRect/>
                    <a:stretch>
                      <a:fillRect/>
                    </a:stretch>
                  </pic:blipFill>
                  <pic:spPr bwMode="auto">
                    <a:xfrm>
                      <a:off x="0" y="0"/>
                      <a:ext cx="896816" cy="861646"/>
                    </a:xfrm>
                    <a:prstGeom prst="rect">
                      <a:avLst/>
                    </a:prstGeom>
                    <a:noFill/>
                    <a:ln>
                      <a:noFill/>
                    </a:ln>
                  </pic:spPr>
                </pic:pic>
              </a:graphicData>
            </a:graphic>
            <wp14:sizeRelH relativeFrom="page">
              <wp14:pctWidth>0</wp14:pctWidth>
            </wp14:sizeRelH>
            <wp14:sizeRelV relativeFrom="page">
              <wp14:pctHeight>0</wp14:pctHeight>
            </wp14:sizeRelV>
          </wp:anchor>
        </w:drawing>
      </w:r>
      <w:r w:rsidR="00180B83" w:rsidRPr="00AE2AF8">
        <w:rPr>
          <w:rFonts w:ascii="Helvetica" w:eastAsia="Times New Roman" w:hAnsi="Helvetica" w:cstheme="minorHAnsi"/>
          <w:b/>
          <w:sz w:val="36"/>
          <w:szCs w:val="36"/>
          <w:lang w:eastAsia="nl-NL"/>
        </w:rPr>
        <w:t>Locatie Eindhoven</w:t>
      </w:r>
      <w:r w:rsidR="00180B83" w:rsidRPr="00AE2AF8">
        <w:rPr>
          <w:rFonts w:ascii="Helvetica" w:eastAsia="Times New Roman" w:hAnsi="Helvetica" w:cstheme="minorHAnsi"/>
          <w:b/>
          <w:sz w:val="36"/>
          <w:szCs w:val="36"/>
          <w:lang w:eastAsia="nl-NL"/>
        </w:rPr>
        <w:tab/>
      </w:r>
    </w:p>
    <w:p w14:paraId="65ACEC61" w14:textId="349D0C33" w:rsidR="00180B83" w:rsidRPr="00432E65" w:rsidRDefault="00180B83" w:rsidP="00180B83">
      <w:pPr>
        <w:spacing w:after="0" w:line="240" w:lineRule="auto"/>
        <w:rPr>
          <w:rFonts w:eastAsia="Times New Roman" w:cstheme="minorHAnsi"/>
          <w:b/>
          <w:sz w:val="36"/>
          <w:szCs w:val="36"/>
          <w:lang w:eastAsia="nl-NL"/>
        </w:rPr>
      </w:pPr>
      <w:r w:rsidRPr="00F15BF0">
        <w:rPr>
          <w:rFonts w:eastAsia="Times New Roman" w:cstheme="minorHAnsi"/>
          <w:lang w:eastAsia="nl-NL"/>
        </w:rPr>
        <w:t>Cursus</w:t>
      </w:r>
      <w:r w:rsidR="00F15BF0">
        <w:rPr>
          <w:rFonts w:eastAsia="Times New Roman" w:cstheme="minorHAnsi"/>
          <w:lang w:eastAsia="nl-NL"/>
        </w:rPr>
        <w:t xml:space="preserve"> </w:t>
      </w:r>
      <w:r w:rsidRPr="00F15BF0">
        <w:rPr>
          <w:rFonts w:eastAsia="Times New Roman" w:cstheme="minorHAnsi"/>
          <w:lang w:eastAsia="nl-NL"/>
        </w:rPr>
        <w:t>locatie B&amp;SIS</w:t>
      </w:r>
      <w:r w:rsidR="00A12B9C" w:rsidRPr="00F15BF0">
        <w:rPr>
          <w:rFonts w:eastAsia="Times New Roman" w:cstheme="minorHAnsi"/>
          <w:lang w:eastAsia="nl-NL"/>
        </w:rPr>
        <w:t xml:space="preserve"> Fysiotherapie</w:t>
      </w:r>
    </w:p>
    <w:p w14:paraId="35F5339C" w14:textId="187D6713" w:rsidR="00180B83" w:rsidRPr="00F15BF0" w:rsidRDefault="00180B83" w:rsidP="00180B83">
      <w:pPr>
        <w:spacing w:after="0" w:line="240" w:lineRule="auto"/>
        <w:rPr>
          <w:rFonts w:eastAsia="Times New Roman" w:cstheme="minorHAnsi"/>
          <w:lang w:eastAsia="nl-NL"/>
        </w:rPr>
      </w:pPr>
      <w:r w:rsidRPr="00F15BF0">
        <w:rPr>
          <w:rFonts w:eastAsia="Times New Roman" w:cstheme="minorHAnsi"/>
          <w:lang w:eastAsia="nl-NL"/>
        </w:rPr>
        <w:t>Ukkelstraat 12</w:t>
      </w:r>
    </w:p>
    <w:p w14:paraId="1AC9B081" w14:textId="67428EC2" w:rsidR="00180B83" w:rsidRPr="00F15BF0" w:rsidRDefault="00180B83" w:rsidP="00180B83">
      <w:pPr>
        <w:spacing w:after="0" w:line="240" w:lineRule="auto"/>
        <w:rPr>
          <w:rFonts w:eastAsia="Times New Roman" w:cstheme="minorHAnsi"/>
          <w:lang w:eastAsia="nl-NL"/>
        </w:rPr>
      </w:pPr>
      <w:r w:rsidRPr="00F15BF0">
        <w:rPr>
          <w:rFonts w:eastAsia="Times New Roman" w:cstheme="minorHAnsi"/>
          <w:lang w:eastAsia="nl-NL"/>
        </w:rPr>
        <w:t>5628 TE Eindhoven</w:t>
      </w:r>
    </w:p>
    <w:p w14:paraId="46850D9E" w14:textId="77777777" w:rsidR="00180B83" w:rsidRPr="00F15BF0" w:rsidRDefault="00180B83" w:rsidP="00180B83">
      <w:pPr>
        <w:spacing w:after="0" w:line="240" w:lineRule="auto"/>
        <w:rPr>
          <w:rFonts w:eastAsia="Times New Roman" w:cstheme="minorHAnsi"/>
          <w:lang w:eastAsia="nl-NL"/>
        </w:rPr>
      </w:pPr>
      <w:r w:rsidRPr="00F15BF0">
        <w:rPr>
          <w:rFonts w:eastAsia="Times New Roman" w:cstheme="minorHAnsi"/>
          <w:lang w:eastAsia="nl-NL"/>
        </w:rPr>
        <w:t>Tel: 040-2025087</w:t>
      </w:r>
    </w:p>
    <w:p w14:paraId="79684E8C" w14:textId="34E7BF81" w:rsidR="00180B83" w:rsidRPr="00F15BF0" w:rsidRDefault="00180B83" w:rsidP="00180B83">
      <w:pPr>
        <w:spacing w:after="0" w:line="240" w:lineRule="auto"/>
        <w:rPr>
          <w:rFonts w:eastAsia="Times New Roman" w:cstheme="minorHAnsi"/>
          <w:lang w:eastAsia="nl-NL"/>
        </w:rPr>
      </w:pPr>
      <w:r w:rsidRPr="00F15BF0">
        <w:rPr>
          <w:rFonts w:eastAsia="Times New Roman" w:cstheme="minorHAnsi"/>
          <w:lang w:eastAsia="nl-NL"/>
        </w:rPr>
        <w:t>Frans Brooijmans: 06-52007259</w:t>
      </w:r>
    </w:p>
    <w:p w14:paraId="39AA754E" w14:textId="5B630913" w:rsidR="00180B83" w:rsidRPr="00A12B9C" w:rsidRDefault="00180B83" w:rsidP="00180B83">
      <w:pPr>
        <w:spacing w:after="0" w:line="240" w:lineRule="auto"/>
        <w:rPr>
          <w:rFonts w:eastAsia="Times New Roman" w:cstheme="minorHAnsi"/>
          <w:sz w:val="28"/>
          <w:szCs w:val="28"/>
          <w:lang w:eastAsia="nl-NL"/>
        </w:rPr>
      </w:pPr>
    </w:p>
    <w:p w14:paraId="016012A5" w14:textId="1A5F58D8" w:rsidR="00180B83" w:rsidRPr="00180B83" w:rsidRDefault="00180B83" w:rsidP="00180B83">
      <w:pPr>
        <w:spacing w:after="0" w:line="240" w:lineRule="auto"/>
        <w:rPr>
          <w:rFonts w:ascii="Century Gothic" w:eastAsia="Times New Roman" w:hAnsi="Century Gothic" w:cs="Times New Roman"/>
          <w:sz w:val="28"/>
          <w:szCs w:val="28"/>
          <w:lang w:eastAsia="nl-NL"/>
        </w:rPr>
      </w:pPr>
      <w:r>
        <w:rPr>
          <w:noProof/>
        </w:rPr>
        <w:drawing>
          <wp:inline distT="0" distB="0" distL="0" distR="0" wp14:anchorId="56E02105" wp14:editId="42D9DF0B">
            <wp:extent cx="5760720" cy="4320540"/>
            <wp:effectExtent l="57150" t="0" r="49530" b="11811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4" r:link="rId16">
                      <a:extLst>
                        <a:ext uri="{BEBA8EAE-BF5A-486C-A8C5-ECC9F3942E4B}">
                          <a14:imgProps xmlns:a14="http://schemas.microsoft.com/office/drawing/2010/main">
                            <a14:imgLayer r:embed="rId15">
                              <a14:imgEffect>
                                <a14:brightnessContrast bright="39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a:effectLst>
                      <a:outerShdw blurRad="50800" dist="50800" dir="5400000" algn="ctr" rotWithShape="0">
                        <a:schemeClr val="bg1"/>
                      </a:outerShdw>
                    </a:effectLst>
                  </pic:spPr>
                </pic:pic>
              </a:graphicData>
            </a:graphic>
          </wp:inline>
        </w:drawing>
      </w:r>
    </w:p>
    <w:p w14:paraId="789D9503" w14:textId="24B892A6" w:rsidR="00204B67" w:rsidRPr="00204B67" w:rsidRDefault="00204B67" w:rsidP="00204B67">
      <w:pPr>
        <w:rPr>
          <w:lang w:val="en-US"/>
        </w:rPr>
      </w:pPr>
    </w:p>
    <w:sectPr w:rsidR="00204B67" w:rsidRPr="00204B67" w:rsidSect="00F943C2">
      <w:footerReference w:type="even"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5268B" w14:textId="77777777" w:rsidR="00416D36" w:rsidRDefault="00416D36" w:rsidP="00A12B9C">
      <w:pPr>
        <w:spacing w:after="0" w:line="240" w:lineRule="auto"/>
      </w:pPr>
      <w:r>
        <w:separator/>
      </w:r>
    </w:p>
  </w:endnote>
  <w:endnote w:type="continuationSeparator" w:id="0">
    <w:p w14:paraId="672DCA2B" w14:textId="77777777" w:rsidR="00416D36" w:rsidRDefault="00416D36" w:rsidP="00A12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2EFF" w:usb1="D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860930808"/>
      <w:docPartObj>
        <w:docPartGallery w:val="Page Numbers (Bottom of Page)"/>
        <w:docPartUnique/>
      </w:docPartObj>
    </w:sdtPr>
    <w:sdtEndPr>
      <w:rPr>
        <w:rStyle w:val="Paginanummer"/>
      </w:rPr>
    </w:sdtEndPr>
    <w:sdtContent>
      <w:p w14:paraId="7DCF0211" w14:textId="56BFDDAD" w:rsidR="00F943C2" w:rsidRDefault="00F943C2" w:rsidP="002D50F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C0B6FDC" w14:textId="77777777" w:rsidR="00F943C2" w:rsidRDefault="00F943C2" w:rsidP="00F943C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59382050"/>
      <w:docPartObj>
        <w:docPartGallery w:val="Page Numbers (Bottom of Page)"/>
        <w:docPartUnique/>
      </w:docPartObj>
    </w:sdtPr>
    <w:sdtEndPr>
      <w:rPr>
        <w:rStyle w:val="Paginanummer"/>
      </w:rPr>
    </w:sdtEndPr>
    <w:sdtContent>
      <w:p w14:paraId="3BD2E1E9" w14:textId="0FAA8125" w:rsidR="00F943C2" w:rsidRDefault="00F943C2" w:rsidP="002D50F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2C545F25" w14:textId="77777777" w:rsidR="00F943C2" w:rsidRDefault="00F943C2" w:rsidP="00F943C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ED928" w14:textId="77777777" w:rsidR="00416D36" w:rsidRDefault="00416D36" w:rsidP="00A12B9C">
      <w:pPr>
        <w:spacing w:after="0" w:line="240" w:lineRule="auto"/>
      </w:pPr>
      <w:r>
        <w:separator/>
      </w:r>
    </w:p>
  </w:footnote>
  <w:footnote w:type="continuationSeparator" w:id="0">
    <w:p w14:paraId="38B9A614" w14:textId="77777777" w:rsidR="00416D36" w:rsidRDefault="00416D36" w:rsidP="00A12B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C5CD1"/>
    <w:multiLevelType w:val="hybridMultilevel"/>
    <w:tmpl w:val="221838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4254FD"/>
    <w:multiLevelType w:val="hybridMultilevel"/>
    <w:tmpl w:val="68EA4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4FF759F"/>
    <w:multiLevelType w:val="hybridMultilevel"/>
    <w:tmpl w:val="416AFA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F8804CB"/>
    <w:multiLevelType w:val="hybridMultilevel"/>
    <w:tmpl w:val="BCAA7C9E"/>
    <w:lvl w:ilvl="0" w:tplc="030C1FE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D975F2E"/>
    <w:multiLevelType w:val="hybridMultilevel"/>
    <w:tmpl w:val="81C856CE"/>
    <w:lvl w:ilvl="0" w:tplc="2266F32C">
      <w:start w:val="2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E1A1231"/>
    <w:multiLevelType w:val="hybridMultilevel"/>
    <w:tmpl w:val="4B568790"/>
    <w:lvl w:ilvl="0" w:tplc="7E341A04">
      <w:start w:val="1"/>
      <w:numFmt w:val="decimal"/>
      <w:lvlText w:val="%1)"/>
      <w:lvlJc w:val="left"/>
      <w:pPr>
        <w:ind w:left="1280" w:hanging="9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CC8"/>
    <w:rsid w:val="00032B62"/>
    <w:rsid w:val="00096C11"/>
    <w:rsid w:val="000B64D8"/>
    <w:rsid w:val="0013468C"/>
    <w:rsid w:val="00142345"/>
    <w:rsid w:val="00154CC9"/>
    <w:rsid w:val="0015515D"/>
    <w:rsid w:val="00160784"/>
    <w:rsid w:val="0016583A"/>
    <w:rsid w:val="00180B83"/>
    <w:rsid w:val="001D2895"/>
    <w:rsid w:val="001E5A43"/>
    <w:rsid w:val="00204B67"/>
    <w:rsid w:val="00206675"/>
    <w:rsid w:val="00235DED"/>
    <w:rsid w:val="00261A83"/>
    <w:rsid w:val="002816D1"/>
    <w:rsid w:val="00285597"/>
    <w:rsid w:val="002D7463"/>
    <w:rsid w:val="003072E8"/>
    <w:rsid w:val="00327622"/>
    <w:rsid w:val="00344C48"/>
    <w:rsid w:val="003456AB"/>
    <w:rsid w:val="00372701"/>
    <w:rsid w:val="00416D36"/>
    <w:rsid w:val="00432E65"/>
    <w:rsid w:val="0043568E"/>
    <w:rsid w:val="00437BAE"/>
    <w:rsid w:val="004430CC"/>
    <w:rsid w:val="004640B4"/>
    <w:rsid w:val="00493C38"/>
    <w:rsid w:val="004B3CAF"/>
    <w:rsid w:val="005D5D58"/>
    <w:rsid w:val="0060323B"/>
    <w:rsid w:val="00645A8E"/>
    <w:rsid w:val="0065015A"/>
    <w:rsid w:val="006A75D9"/>
    <w:rsid w:val="006A765D"/>
    <w:rsid w:val="006E19EC"/>
    <w:rsid w:val="007003DC"/>
    <w:rsid w:val="0072117E"/>
    <w:rsid w:val="0076215F"/>
    <w:rsid w:val="00796F6D"/>
    <w:rsid w:val="007B453A"/>
    <w:rsid w:val="007E485A"/>
    <w:rsid w:val="00830D37"/>
    <w:rsid w:val="008338F3"/>
    <w:rsid w:val="00837852"/>
    <w:rsid w:val="0084586F"/>
    <w:rsid w:val="008A7474"/>
    <w:rsid w:val="008B6731"/>
    <w:rsid w:val="00934DD2"/>
    <w:rsid w:val="00942B3B"/>
    <w:rsid w:val="009672E0"/>
    <w:rsid w:val="009866B4"/>
    <w:rsid w:val="009B0609"/>
    <w:rsid w:val="00A12B9C"/>
    <w:rsid w:val="00A6098A"/>
    <w:rsid w:val="00AA475D"/>
    <w:rsid w:val="00AE2AF8"/>
    <w:rsid w:val="00AE3FD6"/>
    <w:rsid w:val="00B0007F"/>
    <w:rsid w:val="00B01D1C"/>
    <w:rsid w:val="00B1632D"/>
    <w:rsid w:val="00B40187"/>
    <w:rsid w:val="00B5378E"/>
    <w:rsid w:val="00B6392C"/>
    <w:rsid w:val="00B64E8E"/>
    <w:rsid w:val="00B66BE7"/>
    <w:rsid w:val="00BC3E46"/>
    <w:rsid w:val="00BC576F"/>
    <w:rsid w:val="00C8104D"/>
    <w:rsid w:val="00C93767"/>
    <w:rsid w:val="00CB5C79"/>
    <w:rsid w:val="00CD0F29"/>
    <w:rsid w:val="00D0214B"/>
    <w:rsid w:val="00D2459F"/>
    <w:rsid w:val="00D80F3C"/>
    <w:rsid w:val="00D9594F"/>
    <w:rsid w:val="00DB1EBA"/>
    <w:rsid w:val="00DE7FAB"/>
    <w:rsid w:val="00E93CC8"/>
    <w:rsid w:val="00E95DBE"/>
    <w:rsid w:val="00EB4315"/>
    <w:rsid w:val="00F062AE"/>
    <w:rsid w:val="00F1560A"/>
    <w:rsid w:val="00F15BF0"/>
    <w:rsid w:val="00F2383A"/>
    <w:rsid w:val="00F24D3D"/>
    <w:rsid w:val="00F943C2"/>
    <w:rsid w:val="00FB7897"/>
    <w:rsid w:val="00FC3F5A"/>
    <w:rsid w:val="00FE2EC7"/>
    <w:rsid w:val="00FF2877"/>
    <w:rsid w:val="00FF58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57D3A"/>
  <w15:chartTrackingRefBased/>
  <w15:docId w15:val="{9992D6DD-DA95-4CA7-BB01-277FE00D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6BE7"/>
  </w:style>
  <w:style w:type="paragraph" w:styleId="Kop1">
    <w:name w:val="heading 1"/>
    <w:basedOn w:val="Standaard"/>
    <w:next w:val="Standaard"/>
    <w:link w:val="Kop1Char"/>
    <w:uiPriority w:val="9"/>
    <w:qFormat/>
    <w:rsid w:val="00B66BE7"/>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B66BE7"/>
    <w:pPr>
      <w:spacing w:before="240" w:after="8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B66BE7"/>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B66BE7"/>
    <w:pPr>
      <w:spacing w:before="240" w:after="0"/>
      <w:jc w:val="left"/>
      <w:outlineLvl w:val="3"/>
    </w:pPr>
    <w:rPr>
      <w:smallCaps/>
      <w:spacing w:val="10"/>
      <w:sz w:val="22"/>
      <w:szCs w:val="22"/>
    </w:rPr>
  </w:style>
  <w:style w:type="paragraph" w:styleId="Kop5">
    <w:name w:val="heading 5"/>
    <w:basedOn w:val="Standaard"/>
    <w:next w:val="Standaard"/>
    <w:link w:val="Kop5Char"/>
    <w:uiPriority w:val="9"/>
    <w:semiHidden/>
    <w:unhideWhenUsed/>
    <w:qFormat/>
    <w:rsid w:val="00B66BE7"/>
    <w:pPr>
      <w:spacing w:before="200" w:after="0"/>
      <w:jc w:val="left"/>
      <w:outlineLvl w:val="4"/>
    </w:pPr>
    <w:rPr>
      <w:smallCaps/>
      <w:color w:val="C45911" w:themeColor="accent2" w:themeShade="BF"/>
      <w:spacing w:val="10"/>
      <w:sz w:val="22"/>
      <w:szCs w:val="26"/>
    </w:rPr>
  </w:style>
  <w:style w:type="paragraph" w:styleId="Kop6">
    <w:name w:val="heading 6"/>
    <w:basedOn w:val="Standaard"/>
    <w:next w:val="Standaard"/>
    <w:link w:val="Kop6Char"/>
    <w:uiPriority w:val="9"/>
    <w:semiHidden/>
    <w:unhideWhenUsed/>
    <w:qFormat/>
    <w:rsid w:val="00B66BE7"/>
    <w:pPr>
      <w:spacing w:after="0"/>
      <w:jc w:val="left"/>
      <w:outlineLvl w:val="5"/>
    </w:pPr>
    <w:rPr>
      <w:smallCaps/>
      <w:color w:val="ED7D31" w:themeColor="accent2"/>
      <w:spacing w:val="5"/>
      <w:sz w:val="22"/>
    </w:rPr>
  </w:style>
  <w:style w:type="paragraph" w:styleId="Kop7">
    <w:name w:val="heading 7"/>
    <w:basedOn w:val="Standaard"/>
    <w:next w:val="Standaard"/>
    <w:link w:val="Kop7Char"/>
    <w:uiPriority w:val="9"/>
    <w:semiHidden/>
    <w:unhideWhenUsed/>
    <w:qFormat/>
    <w:rsid w:val="00B66BE7"/>
    <w:pPr>
      <w:spacing w:after="0"/>
      <w:jc w:val="left"/>
      <w:outlineLvl w:val="6"/>
    </w:pPr>
    <w:rPr>
      <w:b/>
      <w:smallCaps/>
      <w:color w:val="ED7D31" w:themeColor="accent2"/>
      <w:spacing w:val="10"/>
    </w:rPr>
  </w:style>
  <w:style w:type="paragraph" w:styleId="Kop8">
    <w:name w:val="heading 8"/>
    <w:basedOn w:val="Standaard"/>
    <w:next w:val="Standaard"/>
    <w:link w:val="Kop8Char"/>
    <w:uiPriority w:val="9"/>
    <w:semiHidden/>
    <w:unhideWhenUsed/>
    <w:qFormat/>
    <w:rsid w:val="00B66BE7"/>
    <w:pPr>
      <w:spacing w:after="0"/>
      <w:jc w:val="left"/>
      <w:outlineLvl w:val="7"/>
    </w:pPr>
    <w:rPr>
      <w:b/>
      <w:i/>
      <w:smallCaps/>
      <w:color w:val="C45911" w:themeColor="accent2" w:themeShade="BF"/>
    </w:rPr>
  </w:style>
  <w:style w:type="paragraph" w:styleId="Kop9">
    <w:name w:val="heading 9"/>
    <w:basedOn w:val="Standaard"/>
    <w:next w:val="Standaard"/>
    <w:link w:val="Kop9Char"/>
    <w:uiPriority w:val="9"/>
    <w:semiHidden/>
    <w:unhideWhenUsed/>
    <w:qFormat/>
    <w:rsid w:val="00B66BE7"/>
    <w:pPr>
      <w:spacing w:after="0"/>
      <w:jc w:val="left"/>
      <w:outlineLvl w:val="8"/>
    </w:pPr>
    <w:rPr>
      <w:b/>
      <w:i/>
      <w:smallCaps/>
      <w:color w:val="823B0B"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uiPriority w:val="22"/>
    <w:qFormat/>
    <w:rsid w:val="00B66BE7"/>
    <w:rPr>
      <w:b/>
      <w:color w:val="ED7D31" w:themeColor="accent2"/>
    </w:rPr>
  </w:style>
  <w:style w:type="paragraph" w:customStyle="1" w:styleId="text">
    <w:name w:val="text"/>
    <w:basedOn w:val="Standaard"/>
    <w:rsid w:val="00180B83"/>
    <w:pPr>
      <w:spacing w:before="100" w:beforeAutospacing="1" w:after="100" w:afterAutospacing="1" w:line="240" w:lineRule="auto"/>
    </w:pPr>
    <w:rPr>
      <w:rFonts w:ascii="Verdana" w:eastAsia="Times New Roman" w:hAnsi="Verdana" w:cs="Times New Roman"/>
      <w:color w:val="000000"/>
      <w:sz w:val="17"/>
      <w:szCs w:val="17"/>
      <w:lang w:eastAsia="nl-NL"/>
    </w:rPr>
  </w:style>
  <w:style w:type="paragraph" w:styleId="Geenafstand">
    <w:name w:val="No Spacing"/>
    <w:basedOn w:val="Standaard"/>
    <w:link w:val="GeenafstandChar"/>
    <w:uiPriority w:val="1"/>
    <w:qFormat/>
    <w:rsid w:val="00B66BE7"/>
    <w:pPr>
      <w:spacing w:after="0" w:line="240" w:lineRule="auto"/>
    </w:pPr>
  </w:style>
  <w:style w:type="table" w:styleId="Tabelraster">
    <w:name w:val="Table Grid"/>
    <w:basedOn w:val="Standaardtabel"/>
    <w:uiPriority w:val="39"/>
    <w:rsid w:val="00180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A12B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2B9C"/>
  </w:style>
  <w:style w:type="paragraph" w:styleId="Voettekst">
    <w:name w:val="footer"/>
    <w:basedOn w:val="Standaard"/>
    <w:link w:val="VoettekstChar"/>
    <w:unhideWhenUsed/>
    <w:rsid w:val="00A12B9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2B9C"/>
  </w:style>
  <w:style w:type="character" w:styleId="Hyperlink">
    <w:name w:val="Hyperlink"/>
    <w:basedOn w:val="Standaardalinea-lettertype"/>
    <w:uiPriority w:val="99"/>
    <w:unhideWhenUsed/>
    <w:rsid w:val="00C8104D"/>
    <w:rPr>
      <w:color w:val="0563C1" w:themeColor="hyperlink"/>
      <w:u w:val="single"/>
    </w:rPr>
  </w:style>
  <w:style w:type="character" w:styleId="Onopgelostemelding">
    <w:name w:val="Unresolved Mention"/>
    <w:basedOn w:val="Standaardalinea-lettertype"/>
    <w:uiPriority w:val="99"/>
    <w:semiHidden/>
    <w:unhideWhenUsed/>
    <w:rsid w:val="00C8104D"/>
    <w:rPr>
      <w:color w:val="605E5C"/>
      <w:shd w:val="clear" w:color="auto" w:fill="E1DFDD"/>
    </w:rPr>
  </w:style>
  <w:style w:type="paragraph" w:styleId="Lijstalinea">
    <w:name w:val="List Paragraph"/>
    <w:basedOn w:val="Standaard"/>
    <w:uiPriority w:val="34"/>
    <w:qFormat/>
    <w:rsid w:val="00B66BE7"/>
    <w:pPr>
      <w:ind w:left="720"/>
      <w:contextualSpacing/>
    </w:pPr>
  </w:style>
  <w:style w:type="character" w:styleId="Paginanummer">
    <w:name w:val="page number"/>
    <w:basedOn w:val="Standaardalinea-lettertype"/>
    <w:uiPriority w:val="99"/>
    <w:semiHidden/>
    <w:unhideWhenUsed/>
    <w:rsid w:val="00F943C2"/>
  </w:style>
  <w:style w:type="character" w:customStyle="1" w:styleId="Kop1Char">
    <w:name w:val="Kop 1 Char"/>
    <w:basedOn w:val="Standaardalinea-lettertype"/>
    <w:link w:val="Kop1"/>
    <w:uiPriority w:val="9"/>
    <w:rsid w:val="00B66BE7"/>
    <w:rPr>
      <w:smallCaps/>
      <w:spacing w:val="5"/>
      <w:sz w:val="32"/>
      <w:szCs w:val="32"/>
    </w:rPr>
  </w:style>
  <w:style w:type="character" w:customStyle="1" w:styleId="Kop2Char">
    <w:name w:val="Kop 2 Char"/>
    <w:basedOn w:val="Standaardalinea-lettertype"/>
    <w:link w:val="Kop2"/>
    <w:uiPriority w:val="9"/>
    <w:semiHidden/>
    <w:rsid w:val="00B66BE7"/>
    <w:rPr>
      <w:smallCaps/>
      <w:spacing w:val="5"/>
      <w:sz w:val="28"/>
      <w:szCs w:val="28"/>
    </w:rPr>
  </w:style>
  <w:style w:type="character" w:customStyle="1" w:styleId="Kop3Char">
    <w:name w:val="Kop 3 Char"/>
    <w:basedOn w:val="Standaardalinea-lettertype"/>
    <w:link w:val="Kop3"/>
    <w:uiPriority w:val="9"/>
    <w:semiHidden/>
    <w:rsid w:val="00B66BE7"/>
    <w:rPr>
      <w:smallCaps/>
      <w:spacing w:val="5"/>
      <w:sz w:val="24"/>
      <w:szCs w:val="24"/>
    </w:rPr>
  </w:style>
  <w:style w:type="character" w:customStyle="1" w:styleId="Kop4Char">
    <w:name w:val="Kop 4 Char"/>
    <w:basedOn w:val="Standaardalinea-lettertype"/>
    <w:link w:val="Kop4"/>
    <w:uiPriority w:val="9"/>
    <w:semiHidden/>
    <w:rsid w:val="00B66BE7"/>
    <w:rPr>
      <w:smallCaps/>
      <w:spacing w:val="10"/>
      <w:sz w:val="22"/>
      <w:szCs w:val="22"/>
    </w:rPr>
  </w:style>
  <w:style w:type="character" w:customStyle="1" w:styleId="Kop5Char">
    <w:name w:val="Kop 5 Char"/>
    <w:basedOn w:val="Standaardalinea-lettertype"/>
    <w:link w:val="Kop5"/>
    <w:uiPriority w:val="9"/>
    <w:semiHidden/>
    <w:rsid w:val="00B66BE7"/>
    <w:rPr>
      <w:smallCaps/>
      <w:color w:val="C45911" w:themeColor="accent2" w:themeShade="BF"/>
      <w:spacing w:val="10"/>
      <w:sz w:val="22"/>
      <w:szCs w:val="26"/>
    </w:rPr>
  </w:style>
  <w:style w:type="character" w:customStyle="1" w:styleId="Kop6Char">
    <w:name w:val="Kop 6 Char"/>
    <w:basedOn w:val="Standaardalinea-lettertype"/>
    <w:link w:val="Kop6"/>
    <w:uiPriority w:val="9"/>
    <w:semiHidden/>
    <w:rsid w:val="00B66BE7"/>
    <w:rPr>
      <w:smallCaps/>
      <w:color w:val="ED7D31" w:themeColor="accent2"/>
      <w:spacing w:val="5"/>
      <w:sz w:val="22"/>
    </w:rPr>
  </w:style>
  <w:style w:type="character" w:customStyle="1" w:styleId="Kop7Char">
    <w:name w:val="Kop 7 Char"/>
    <w:basedOn w:val="Standaardalinea-lettertype"/>
    <w:link w:val="Kop7"/>
    <w:uiPriority w:val="9"/>
    <w:semiHidden/>
    <w:rsid w:val="00B66BE7"/>
    <w:rPr>
      <w:b/>
      <w:smallCaps/>
      <w:color w:val="ED7D31" w:themeColor="accent2"/>
      <w:spacing w:val="10"/>
    </w:rPr>
  </w:style>
  <w:style w:type="character" w:customStyle="1" w:styleId="Kop8Char">
    <w:name w:val="Kop 8 Char"/>
    <w:basedOn w:val="Standaardalinea-lettertype"/>
    <w:link w:val="Kop8"/>
    <w:uiPriority w:val="9"/>
    <w:semiHidden/>
    <w:rsid w:val="00B66BE7"/>
    <w:rPr>
      <w:b/>
      <w:i/>
      <w:smallCaps/>
      <w:color w:val="C45911" w:themeColor="accent2" w:themeShade="BF"/>
    </w:rPr>
  </w:style>
  <w:style w:type="character" w:customStyle="1" w:styleId="Kop9Char">
    <w:name w:val="Kop 9 Char"/>
    <w:basedOn w:val="Standaardalinea-lettertype"/>
    <w:link w:val="Kop9"/>
    <w:uiPriority w:val="9"/>
    <w:semiHidden/>
    <w:rsid w:val="00B66BE7"/>
    <w:rPr>
      <w:b/>
      <w:i/>
      <w:smallCaps/>
      <w:color w:val="823B0B" w:themeColor="accent2" w:themeShade="7F"/>
    </w:rPr>
  </w:style>
  <w:style w:type="paragraph" w:styleId="Bijschrift">
    <w:name w:val="caption"/>
    <w:basedOn w:val="Standaard"/>
    <w:next w:val="Standaard"/>
    <w:uiPriority w:val="35"/>
    <w:semiHidden/>
    <w:unhideWhenUsed/>
    <w:qFormat/>
    <w:rsid w:val="00B66BE7"/>
    <w:rPr>
      <w:b/>
      <w:bCs/>
      <w:caps/>
      <w:sz w:val="16"/>
      <w:szCs w:val="18"/>
    </w:rPr>
  </w:style>
  <w:style w:type="paragraph" w:styleId="Titel">
    <w:name w:val="Title"/>
    <w:basedOn w:val="Standaard"/>
    <w:next w:val="Standaard"/>
    <w:link w:val="TitelChar"/>
    <w:uiPriority w:val="10"/>
    <w:qFormat/>
    <w:rsid w:val="00B66BE7"/>
    <w:pPr>
      <w:pBdr>
        <w:top w:val="single" w:sz="12" w:space="1" w:color="ED7D31" w:themeColor="accent2"/>
      </w:pBdr>
      <w:spacing w:line="240" w:lineRule="auto"/>
      <w:jc w:val="right"/>
    </w:pPr>
    <w:rPr>
      <w:smallCaps/>
      <w:sz w:val="48"/>
      <w:szCs w:val="48"/>
    </w:rPr>
  </w:style>
  <w:style w:type="character" w:customStyle="1" w:styleId="TitelChar">
    <w:name w:val="Titel Char"/>
    <w:basedOn w:val="Standaardalinea-lettertype"/>
    <w:link w:val="Titel"/>
    <w:uiPriority w:val="10"/>
    <w:rsid w:val="00B66BE7"/>
    <w:rPr>
      <w:smallCaps/>
      <w:sz w:val="48"/>
      <w:szCs w:val="48"/>
    </w:rPr>
  </w:style>
  <w:style w:type="paragraph" w:styleId="Ondertitel">
    <w:name w:val="Subtitle"/>
    <w:basedOn w:val="Standaard"/>
    <w:next w:val="Standaard"/>
    <w:link w:val="OndertitelChar"/>
    <w:uiPriority w:val="11"/>
    <w:qFormat/>
    <w:rsid w:val="00B66BE7"/>
    <w:pPr>
      <w:spacing w:after="720" w:line="240" w:lineRule="auto"/>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B66BE7"/>
    <w:rPr>
      <w:rFonts w:asciiTheme="majorHAnsi" w:eastAsiaTheme="majorEastAsia" w:hAnsiTheme="majorHAnsi" w:cstheme="majorBidi"/>
      <w:szCs w:val="22"/>
    </w:rPr>
  </w:style>
  <w:style w:type="character" w:styleId="Nadruk">
    <w:name w:val="Emphasis"/>
    <w:uiPriority w:val="20"/>
    <w:qFormat/>
    <w:rsid w:val="00B66BE7"/>
    <w:rPr>
      <w:b/>
      <w:i/>
      <w:spacing w:val="10"/>
    </w:rPr>
  </w:style>
  <w:style w:type="character" w:customStyle="1" w:styleId="GeenafstandChar">
    <w:name w:val="Geen afstand Char"/>
    <w:basedOn w:val="Standaardalinea-lettertype"/>
    <w:link w:val="Geenafstand"/>
    <w:uiPriority w:val="1"/>
    <w:rsid w:val="00B66BE7"/>
  </w:style>
  <w:style w:type="paragraph" w:styleId="Citaat">
    <w:name w:val="Quote"/>
    <w:basedOn w:val="Standaard"/>
    <w:next w:val="Standaard"/>
    <w:link w:val="CitaatChar"/>
    <w:uiPriority w:val="29"/>
    <w:qFormat/>
    <w:rsid w:val="00B66BE7"/>
    <w:rPr>
      <w:i/>
    </w:rPr>
  </w:style>
  <w:style w:type="character" w:customStyle="1" w:styleId="CitaatChar">
    <w:name w:val="Citaat Char"/>
    <w:basedOn w:val="Standaardalinea-lettertype"/>
    <w:link w:val="Citaat"/>
    <w:uiPriority w:val="29"/>
    <w:rsid w:val="00B66BE7"/>
    <w:rPr>
      <w:i/>
    </w:rPr>
  </w:style>
  <w:style w:type="paragraph" w:styleId="Duidelijkcitaat">
    <w:name w:val="Intense Quote"/>
    <w:basedOn w:val="Standaard"/>
    <w:next w:val="Standaard"/>
    <w:link w:val="DuidelijkcitaatChar"/>
    <w:uiPriority w:val="30"/>
    <w:qFormat/>
    <w:rsid w:val="00B66BE7"/>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B66BE7"/>
    <w:rPr>
      <w:b/>
      <w:i/>
      <w:color w:val="FFFFFF" w:themeColor="background1"/>
      <w:shd w:val="clear" w:color="auto" w:fill="ED7D31" w:themeFill="accent2"/>
    </w:rPr>
  </w:style>
  <w:style w:type="character" w:styleId="Subtielebenadrukking">
    <w:name w:val="Subtle Emphasis"/>
    <w:uiPriority w:val="19"/>
    <w:qFormat/>
    <w:rsid w:val="00B66BE7"/>
    <w:rPr>
      <w:i/>
    </w:rPr>
  </w:style>
  <w:style w:type="character" w:styleId="Intensievebenadrukking">
    <w:name w:val="Intense Emphasis"/>
    <w:uiPriority w:val="21"/>
    <w:qFormat/>
    <w:rsid w:val="00B66BE7"/>
    <w:rPr>
      <w:b/>
      <w:i/>
      <w:color w:val="ED7D31" w:themeColor="accent2"/>
      <w:spacing w:val="10"/>
    </w:rPr>
  </w:style>
  <w:style w:type="character" w:styleId="Subtieleverwijzing">
    <w:name w:val="Subtle Reference"/>
    <w:uiPriority w:val="31"/>
    <w:qFormat/>
    <w:rsid w:val="00B66BE7"/>
    <w:rPr>
      <w:b/>
    </w:rPr>
  </w:style>
  <w:style w:type="character" w:styleId="Intensieveverwijzing">
    <w:name w:val="Intense Reference"/>
    <w:uiPriority w:val="32"/>
    <w:qFormat/>
    <w:rsid w:val="00B66BE7"/>
    <w:rPr>
      <w:b/>
      <w:bCs/>
      <w:smallCaps/>
      <w:spacing w:val="5"/>
      <w:sz w:val="22"/>
      <w:szCs w:val="22"/>
      <w:u w:val="single"/>
    </w:rPr>
  </w:style>
  <w:style w:type="character" w:styleId="Titelvanboek">
    <w:name w:val="Book Title"/>
    <w:uiPriority w:val="33"/>
    <w:qFormat/>
    <w:rsid w:val="00B66BE7"/>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B66BE7"/>
    <w:pPr>
      <w:outlineLvl w:val="9"/>
    </w:pPr>
  </w:style>
  <w:style w:type="character" w:customStyle="1" w:styleId="contribution">
    <w:name w:val="contribution"/>
    <w:basedOn w:val="Standaardalinea-lettertype"/>
    <w:rsid w:val="00FC3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8fde6e19-b091-4cc8-90f5-5970859395fd@eurprd06.prod.outlook.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f15b5950-bfda-4bb8-b89b-c40dd5741abe@eurprd06.prod.outlook.com" TargetMode="Externa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E9259BB-646C-454B-8543-A12B873E8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5</Pages>
  <Words>8265</Words>
  <Characters>45463</Characters>
  <Application>Microsoft Office Word</Application>
  <DocSecurity>0</DocSecurity>
  <Lines>378</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B-sis Fysiotherapie</dc:creator>
  <cp:keywords/>
  <dc:description/>
  <cp:lastModifiedBy>Bruijn, B.I. de (Britt)</cp:lastModifiedBy>
  <cp:revision>52</cp:revision>
  <dcterms:created xsi:type="dcterms:W3CDTF">2021-03-16T15:57:00Z</dcterms:created>
  <dcterms:modified xsi:type="dcterms:W3CDTF">2021-08-31T11:37:00Z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c9e9e62c-0076-36a3-bb0e-66825b777333</vt:lpwstr>
  </property>
  <property fmtid="{D5CDD505-2E9C-101B-9397-08002B2CF9AE}" pid="24" name="Mendeley Citation Style_1">
    <vt:lpwstr>http://www.zotero.org/styles/vancouver-superscript</vt:lpwstr>
  </property>
</Properties>
</file>